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F0EB1" w14:textId="77777777" w:rsidR="00A80245" w:rsidRDefault="00E478A6" w:rsidP="00176B63">
      <w:pPr>
        <w:spacing w:line="240" w:lineRule="exact"/>
        <w:ind w:left="5664"/>
        <w:rPr>
          <w:color w:val="FF0000"/>
        </w:rPr>
      </w:pPr>
      <w:r>
        <w:rPr>
          <w:noProof/>
          <w:lang w:eastAsia="ca-ES"/>
        </w:rPr>
        <mc:AlternateContent>
          <mc:Choice Requires="wps">
            <w:drawing>
              <wp:anchor distT="0" distB="0" distL="0" distR="0" simplePos="0" relativeHeight="3" behindDoc="0" locked="0" layoutInCell="1" allowOverlap="1" wp14:anchorId="5C426A0E" wp14:editId="7AEB8E79">
                <wp:simplePos x="0" y="0"/>
                <wp:positionH relativeFrom="column">
                  <wp:posOffset>4000500</wp:posOffset>
                </wp:positionH>
                <wp:positionV relativeFrom="paragraph">
                  <wp:posOffset>-1050925</wp:posOffset>
                </wp:positionV>
                <wp:extent cx="1833245" cy="804545"/>
                <wp:effectExtent l="0" t="0" r="0" b="0"/>
                <wp:wrapNone/>
                <wp:docPr id="1" name="Text Box 16"/>
                <wp:cNvGraphicFramePr/>
                <a:graphic xmlns:a="http://schemas.openxmlformats.org/drawingml/2006/main">
                  <a:graphicData uri="http://schemas.microsoft.com/office/word/2010/wordprocessingShape">
                    <wps:wsp>
                      <wps:cNvSpPr/>
                      <wps:spPr>
                        <a:xfrm>
                          <a:off x="0" y="0"/>
                          <a:ext cx="1832760" cy="803880"/>
                        </a:xfrm>
                        <a:prstGeom prst="rect">
                          <a:avLst/>
                        </a:prstGeom>
                        <a:noFill/>
                        <a:ln>
                          <a:noFill/>
                        </a:ln>
                      </wps:spPr>
                      <wps:style>
                        <a:lnRef idx="0">
                          <a:scrgbClr r="0" g="0" b="0"/>
                        </a:lnRef>
                        <a:fillRef idx="0">
                          <a:scrgbClr r="0" g="0" b="0"/>
                        </a:fillRef>
                        <a:effectRef idx="0">
                          <a:scrgbClr r="0" g="0" b="0"/>
                        </a:effectRef>
                        <a:fontRef idx="minor"/>
                      </wps:style>
                      <wps:txbx>
                        <w:txbxContent>
                          <w:p w14:paraId="5F16110A" w14:textId="77777777" w:rsidR="00A80245" w:rsidRDefault="00E478A6">
                            <w:pPr>
                              <w:pStyle w:val="Contenidodelmarco"/>
                              <w:rPr>
                                <w:color w:val="000000"/>
                              </w:rPr>
                            </w:pPr>
                            <w:r>
                              <w:rPr>
                                <w:color w:val="000000"/>
                              </w:rPr>
                              <w:t xml:space="preserve">       </w:t>
                            </w:r>
                            <w:r>
                              <w:rPr>
                                <w:noProof/>
                                <w:lang w:eastAsia="ca-ES"/>
                              </w:rPr>
                              <w:drawing>
                                <wp:inline distT="0" distB="0" distL="0" distR="0" wp14:anchorId="5BC6E6BA" wp14:editId="788E59FD">
                                  <wp:extent cx="1104900" cy="381000"/>
                                  <wp:effectExtent l="0" t="0" r="0" b="0"/>
                                  <wp:docPr id="3" name="Imatge 2" descr="logo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tge 2" descr="logo_3"/>
                                          <pic:cNvPicPr>
                                            <a:picLocks noChangeAspect="1" noChangeArrowheads="1"/>
                                          </pic:cNvPicPr>
                                        </pic:nvPicPr>
                                        <pic:blipFill>
                                          <a:blip r:embed="rId8"/>
                                          <a:stretch>
                                            <a:fillRect/>
                                          </a:stretch>
                                        </pic:blipFill>
                                        <pic:spPr bwMode="auto">
                                          <a:xfrm>
                                            <a:off x="0" y="0"/>
                                            <a:ext cx="1104900" cy="381000"/>
                                          </a:xfrm>
                                          <a:prstGeom prst="rect">
                                            <a:avLst/>
                                          </a:prstGeom>
                                        </pic:spPr>
                                      </pic:pic>
                                    </a:graphicData>
                                  </a:graphic>
                                </wp:inline>
                              </w:drawing>
                            </w:r>
                          </w:p>
                          <w:p w14:paraId="6C989947" w14:textId="77777777" w:rsidR="00A80245" w:rsidRDefault="00E478A6">
                            <w:pPr>
                              <w:pStyle w:val="Contenidodelmarco"/>
                            </w:pPr>
                            <w:r>
                              <w:rPr>
                                <w:color w:val="000000"/>
                              </w:rPr>
                              <w:t xml:space="preserve">                   </w:t>
                            </w:r>
                          </w:p>
                        </w:txbxContent>
                      </wps:txbx>
                      <wps:bodyPr>
                        <a:noAutofit/>
                      </wps:bodyPr>
                    </wps:wsp>
                  </a:graphicData>
                </a:graphic>
              </wp:anchor>
            </w:drawing>
          </mc:Choice>
          <mc:Fallback>
            <w:pict>
              <v:rect w14:anchorId="5C426A0E" id="Text Box 16" o:spid="_x0000_s1026" style="position:absolute;left:0;text-align:left;margin-left:315pt;margin-top:-82.75pt;width:144.35pt;height:63.35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" filled="f" stroked="f">
                <v:textbox>
                  <w:txbxContent>
                    <w:p w14:paraId="5F16110A" w14:textId="77777777" w:rsidR="00A80245" w:rsidRDefault="00E478A6">
                      <w:pPr>
                        <w:pStyle w:val="Contenidodelmarco"/>
                        <w:rPr>
                          <w:color w:val="000000"/>
                        </w:rPr>
                      </w:pPr>
                      <w:r>
                        <w:rPr>
                          <w:color w:val="000000"/>
                        </w:rPr>
                        <w:t xml:space="preserve">       </w:t>
                      </w:r>
                      <w:r>
                        <w:rPr>
                          <w:noProof/>
                          <w:lang w:eastAsia="ca-ES"/>
                        </w:rPr>
                        <w:drawing>
                          <wp:inline distT="0" distB="0" distL="0" distR="0" wp14:anchorId="5BC6E6BA" wp14:editId="788E59FD">
                            <wp:extent cx="1104900" cy="381000"/>
                            <wp:effectExtent l="0" t="0" r="0" b="0"/>
                            <wp:docPr id="3" name="Imatge 2" descr="logo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tge 2" descr="logo_3"/>
                                    <pic:cNvPicPr>
                                      <a:picLocks noChangeAspect="1" noChangeArrowheads="1"/>
                                    </pic:cNvPicPr>
                                  </pic:nvPicPr>
                                  <pic:blipFill>
                                    <a:blip r:embed="rId8"/>
                                    <a:stretch>
                                      <a:fillRect/>
                                    </a:stretch>
                                  </pic:blipFill>
                                  <pic:spPr bwMode="auto">
                                    <a:xfrm>
                                      <a:off x="0" y="0"/>
                                      <a:ext cx="1104900" cy="381000"/>
                                    </a:xfrm>
                                    <a:prstGeom prst="rect">
                                      <a:avLst/>
                                    </a:prstGeom>
                                  </pic:spPr>
                                </pic:pic>
                              </a:graphicData>
                            </a:graphic>
                          </wp:inline>
                        </w:drawing>
                      </w:r>
                    </w:p>
                    <w:p w14:paraId="6C989947" w14:textId="77777777" w:rsidR="00A80245" w:rsidRDefault="00E478A6">
                      <w:pPr>
                        <w:pStyle w:val="Contenidodelmarco"/>
                      </w:pPr>
                      <w:r>
                        <w:rPr>
                          <w:color w:val="000000"/>
                        </w:rPr>
                        <w:t xml:space="preserve">                   </w:t>
                      </w:r>
                    </w:p>
                  </w:txbxContent>
                </v:textbox>
              </v:rect>
            </w:pict>
          </mc:Fallback>
        </mc:AlternateContent>
      </w:r>
      <w:r>
        <w:rPr>
          <w:color w:val="FF0000"/>
        </w:rPr>
        <w:t xml:space="preserve">           </w:t>
      </w:r>
      <w:r>
        <w:rPr>
          <w:rFonts w:ascii="Wingdings" w:eastAsia="Wingdings" w:hAnsi="Wingdings" w:cs="Wingdings"/>
          <w:color w:val="D52B1E"/>
        </w:rPr>
        <w:t></w:t>
      </w:r>
      <w:r>
        <w:t xml:space="preserve"> </w:t>
      </w:r>
      <w:r>
        <w:rPr>
          <w:rFonts w:cs="Arial"/>
          <w:b/>
        </w:rPr>
        <w:t>Nota de premsa</w:t>
      </w:r>
      <w:r>
        <w:t xml:space="preserve"> </w:t>
      </w:r>
      <w:r>
        <w:rPr>
          <w:rFonts w:ascii="Wingdings" w:eastAsia="Wingdings" w:hAnsi="Wingdings" w:cs="Wingdings"/>
          <w:color w:val="D52B1E"/>
        </w:rPr>
        <w:t></w:t>
      </w:r>
    </w:p>
    <w:p w14:paraId="287373E5" w14:textId="77777777" w:rsidR="00A80245" w:rsidRDefault="00E478A6">
      <w:pPr>
        <w:pStyle w:val="Capalera"/>
        <w:tabs>
          <w:tab w:val="clear" w:pos="4252"/>
          <w:tab w:val="clear" w:pos="8504"/>
        </w:tabs>
      </w:pPr>
      <w:r>
        <w:t xml:space="preserve">                                                                                      </w:t>
      </w:r>
      <w:r w:rsidR="00176B63">
        <w:tab/>
      </w:r>
      <w:r>
        <w:t xml:space="preserve">         </w:t>
      </w:r>
      <w:r>
        <w:rPr>
          <w:b/>
          <w:sz w:val="20"/>
        </w:rPr>
        <w:t xml:space="preserve">Número </w:t>
      </w:r>
      <w:r w:rsidR="00FE0D1A">
        <w:rPr>
          <w:b/>
          <w:sz w:val="20"/>
        </w:rPr>
        <w:t>XXX</w:t>
      </w:r>
    </w:p>
    <w:p w14:paraId="7031D8A1" w14:textId="77777777" w:rsidR="00A80245" w:rsidRDefault="00E478A6">
      <w:r>
        <w:rPr>
          <w:noProof/>
          <w:lang w:eastAsia="ca-ES"/>
        </w:rPr>
        <mc:AlternateContent>
          <mc:Choice Requires="wps">
            <w:drawing>
              <wp:anchor distT="0" distB="0" distL="0" distR="0" simplePos="0" relativeHeight="2" behindDoc="0" locked="0" layoutInCell="1" allowOverlap="1" wp14:anchorId="39C5ADAC" wp14:editId="6FA460BF">
                <wp:simplePos x="0" y="0"/>
                <wp:positionH relativeFrom="column">
                  <wp:posOffset>0</wp:posOffset>
                </wp:positionH>
                <wp:positionV relativeFrom="paragraph">
                  <wp:posOffset>146685</wp:posOffset>
                </wp:positionV>
                <wp:extent cx="5490845" cy="1270"/>
                <wp:effectExtent l="0" t="0" r="0" b="0"/>
                <wp:wrapNone/>
                <wp:docPr id="5" name="Line 14"/>
                <wp:cNvGraphicFramePr/>
                <a:graphic xmlns:a="http://schemas.openxmlformats.org/drawingml/2006/main">
                  <a:graphicData uri="http://schemas.microsoft.com/office/word/2010/wordprocessingShape">
                    <wps:wsp>
                      <wps:cNvCnPr/>
                      <wps:spPr>
                        <a:xfrm>
                          <a:off x="0" y="0"/>
                          <a:ext cx="5490360" cy="0"/>
                        </a:xfrm>
                        <a:prstGeom prst="line">
                          <a:avLst/>
                        </a:prstGeom>
                        <a:ln w="28440">
                          <a:solidFill>
                            <a:srgbClr val="C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id="shape_0" from="0pt,11.55pt" to="432.25pt,11.55pt" ID="Line 14" stroked="t" style="position:absolute">
                <v:stroke color="#c00000" weight="28440" joinstyle="round" endcap="flat"/>
                <v:fill o:detectmouseclick="t" on="false"/>
              </v:line>
            </w:pict>
          </mc:Fallback>
        </mc:AlternateContent>
      </w:r>
      <w:r>
        <w:t xml:space="preserve">                                                                       </w:t>
      </w:r>
    </w:p>
    <w:p w14:paraId="523EBDEC" w14:textId="77777777" w:rsidR="00AC44A9" w:rsidRPr="00AC44A9" w:rsidRDefault="00AC44A9" w:rsidP="00AC44A9">
      <w:pPr>
        <w:jc w:val="both"/>
        <w:rPr>
          <w:rFonts w:cs="Arial"/>
          <w:b/>
          <w:bCs/>
          <w:sz w:val="22"/>
          <w:szCs w:val="22"/>
        </w:rPr>
      </w:pPr>
    </w:p>
    <w:p w14:paraId="445831D4" w14:textId="160829F8" w:rsidR="00AC44A9" w:rsidRPr="00AC44A9" w:rsidRDefault="00AC44A9" w:rsidP="00AC44A9">
      <w:pPr>
        <w:jc w:val="both"/>
        <w:rPr>
          <w:rFonts w:cs="Arial"/>
          <w:b/>
          <w:bCs/>
          <w:sz w:val="40"/>
          <w:szCs w:val="40"/>
        </w:rPr>
      </w:pPr>
      <w:r w:rsidRPr="00AC44A9">
        <w:rPr>
          <w:rFonts w:cs="Arial"/>
          <w:b/>
          <w:bCs/>
          <w:sz w:val="40"/>
          <w:szCs w:val="40"/>
        </w:rPr>
        <w:t>Una Campanya caracteritzada per la simultaneïtat d’incendis en l’estiu més càlid mai registrat a Catalunya</w:t>
      </w:r>
    </w:p>
    <w:p w14:paraId="0175444D" w14:textId="77777777" w:rsidR="00A80245" w:rsidRPr="002F10CC" w:rsidRDefault="00A80245">
      <w:pPr>
        <w:jc w:val="both"/>
      </w:pPr>
    </w:p>
    <w:p w14:paraId="0AC9E0E5" w14:textId="702CF37B" w:rsidR="00A80245" w:rsidRPr="0024598F" w:rsidRDefault="00A62902" w:rsidP="005D41AF">
      <w:pPr>
        <w:pStyle w:val="Pargrafdellista"/>
        <w:numPr>
          <w:ilvl w:val="0"/>
          <w:numId w:val="1"/>
        </w:numPr>
        <w:jc w:val="both"/>
      </w:pPr>
      <w:r>
        <w:rPr>
          <w:rFonts w:ascii="Arial" w:hAnsi="Arial" w:cs="Arial"/>
          <w:b/>
          <w:sz w:val="24"/>
          <w:szCs w:val="24"/>
        </w:rPr>
        <w:t>Els Bombers de la Generalitat han fet front a un 26,1% més d’incendis de vegetació en comparació a l’estiu de l’any passat</w:t>
      </w:r>
    </w:p>
    <w:p w14:paraId="7DC55707" w14:textId="77777777" w:rsidR="0024598F" w:rsidRDefault="0024598F" w:rsidP="0024598F">
      <w:pPr>
        <w:pStyle w:val="Pargrafdellista"/>
        <w:jc w:val="both"/>
      </w:pPr>
    </w:p>
    <w:p w14:paraId="16A8A8D6" w14:textId="5AAB4BC7" w:rsidR="00FE0D1A" w:rsidRPr="00F176FF" w:rsidRDefault="00A62902" w:rsidP="00FE0D1A">
      <w:pPr>
        <w:pStyle w:val="Pargrafdellista"/>
        <w:numPr>
          <w:ilvl w:val="0"/>
          <w:numId w:val="1"/>
        </w:numPr>
        <w:jc w:val="both"/>
      </w:pPr>
      <w:r>
        <w:rPr>
          <w:rFonts w:ascii="Arial" w:hAnsi="Arial" w:cs="Arial"/>
          <w:b/>
          <w:sz w:val="24"/>
          <w:szCs w:val="24"/>
        </w:rPr>
        <w:t>La Campanya ha posat en evidència la vulnerabilitat dels Pirineus davant els incendis</w:t>
      </w:r>
    </w:p>
    <w:p w14:paraId="5F61CA38" w14:textId="77777777" w:rsidR="0001496E" w:rsidRDefault="0001496E" w:rsidP="0001496E">
      <w:pPr>
        <w:pStyle w:val="NormalWeb"/>
        <w:spacing w:beforeAutospacing="0" w:after="0" w:line="240" w:lineRule="auto"/>
        <w:jc w:val="both"/>
        <w:rPr>
          <w:rFonts w:ascii="Arial" w:hAnsi="Arial" w:cs="Arial"/>
          <w:b/>
        </w:rPr>
      </w:pPr>
    </w:p>
    <w:p w14:paraId="542EA4AC" w14:textId="4213BB1F" w:rsidR="00AC44A9" w:rsidRDefault="00AC44A9" w:rsidP="00AC44A9">
      <w:pPr>
        <w:jc w:val="both"/>
        <w:rPr>
          <w:rFonts w:cs="Arial"/>
        </w:rPr>
      </w:pPr>
      <w:r w:rsidRPr="00AD65AE">
        <w:rPr>
          <w:rFonts w:cs="Arial"/>
        </w:rPr>
        <w:t xml:space="preserve">Els Bombers de la Generalitat han treballat en un 26,1% més d’incendis de vegetació durant la Campanya </w:t>
      </w:r>
      <w:r>
        <w:rPr>
          <w:rFonts w:cs="Arial"/>
        </w:rPr>
        <w:t>d’incendis</w:t>
      </w:r>
      <w:r w:rsidRPr="00AD65AE">
        <w:rPr>
          <w:rFonts w:cs="Arial"/>
        </w:rPr>
        <w:t xml:space="preserve"> d’enguany respecte l’estiu de 2025 (2.255 davant els 2.844 d’enguany). S’ha superat, fins i tot, l’estiu crític de 2022, en què es va treballar en 2.839 incendis. La Campanya també s’ha caracteritzat pels episodis de simultaneïtat d’uns incendis cada cop més virulents i que han obligat el Cos de Bombers a intensificar la seva resposta, especialment durant la primera quinzena de juliol.</w:t>
      </w:r>
    </w:p>
    <w:p w14:paraId="428E4AFA" w14:textId="77777777" w:rsidR="00AC44A9" w:rsidRPr="00AD65AE" w:rsidRDefault="00AC44A9" w:rsidP="00AC44A9">
      <w:pPr>
        <w:jc w:val="both"/>
        <w:rPr>
          <w:rFonts w:cs="Arial"/>
        </w:rPr>
      </w:pPr>
    </w:p>
    <w:p w14:paraId="1C70378C" w14:textId="77777777" w:rsidR="00AC44A9" w:rsidRDefault="00AC44A9" w:rsidP="00AC44A9">
      <w:pPr>
        <w:jc w:val="both"/>
        <w:rPr>
          <w:rFonts w:cs="Arial"/>
        </w:rPr>
      </w:pPr>
      <w:r w:rsidRPr="00AD65AE">
        <w:rPr>
          <w:rFonts w:cs="Arial"/>
        </w:rPr>
        <w:t xml:space="preserve">Si la comparació és entre mesos, en aquest estiu de 2026 els Bombers de la Generalitat han treballat en més incendis al juny, al juliol i a l’agost que no pas l’any passat, amb un increment especialment considerable del 82% en la comparativa entre el juliol d’un i altre any. Al juny, que va registrar un important augment de temperatures al llarg de la segona quinzena de mes, l’increment va ser de 16% respecte el mateix mes de 2025. De fet, els mesos de juny i juliol de 2026 han estat els més crítics quant al nombre d’incendis en què han hagut de treballar els Bombers de la Generalitat en el que portem de dècada. Això indica l’agreujament de les condicions en què acostuma a començar la Campanya </w:t>
      </w:r>
      <w:r>
        <w:rPr>
          <w:rFonts w:cs="Arial"/>
        </w:rPr>
        <w:t>d’incendis</w:t>
      </w:r>
      <w:r w:rsidRPr="00AD65AE">
        <w:rPr>
          <w:rFonts w:cs="Arial"/>
        </w:rPr>
        <w:t xml:space="preserve"> i reforça la importància del treball d’anàlisi del comportament dels incendis de vegetació que fa el Cos de Bombers, que ajuda a planificar estratègies d’atac més eficients. Avançar-se al foc és una de les claus per evitar que el sistema col·lapsi. </w:t>
      </w:r>
    </w:p>
    <w:p w14:paraId="78C6EDA4" w14:textId="77777777" w:rsidR="00AC44A9" w:rsidRPr="00AD65AE" w:rsidRDefault="00AC44A9" w:rsidP="00AC44A9">
      <w:pPr>
        <w:jc w:val="both"/>
        <w:rPr>
          <w:rFonts w:cs="Arial"/>
        </w:rPr>
      </w:pPr>
    </w:p>
    <w:p w14:paraId="180FC044" w14:textId="77777777" w:rsidR="00AC44A9" w:rsidRDefault="00AC44A9" w:rsidP="00AC44A9">
      <w:pPr>
        <w:jc w:val="both"/>
        <w:rPr>
          <w:rFonts w:cs="Arial"/>
        </w:rPr>
      </w:pPr>
      <w:r w:rsidRPr="00AD65AE">
        <w:rPr>
          <w:rFonts w:cs="Arial"/>
        </w:rPr>
        <w:t>Tot i una certa normalització a l’agost, també enguany els Bombers de la Generalitat han treballat en més incendis de vegetació comparat amb el mateix mes de 2025: +6,35%. Fins a l’agost, 2026 superava mes a mes l’any passat des de febrer. Ara al setembre, l’activitat ha estat inferior respecte 2025: enguany s’ha treballat en un 12% menys d’incendis de vegetació que tot just ara fa 12 mesos.</w:t>
      </w:r>
    </w:p>
    <w:p w14:paraId="0EAFB322" w14:textId="77777777" w:rsidR="00AC44A9" w:rsidRDefault="00AC44A9" w:rsidP="00AC44A9">
      <w:pPr>
        <w:jc w:val="both"/>
        <w:rPr>
          <w:rFonts w:cs="Arial"/>
        </w:rPr>
      </w:pPr>
    </w:p>
    <w:p w14:paraId="2F4FB257" w14:textId="77777777" w:rsidR="00AC44A9" w:rsidRDefault="00AC44A9" w:rsidP="00AC44A9">
      <w:pPr>
        <w:jc w:val="both"/>
        <w:rPr>
          <w:rFonts w:cs="Arial"/>
        </w:rPr>
      </w:pPr>
      <w:r w:rsidRPr="00AD65AE">
        <w:rPr>
          <w:rFonts w:cs="Arial"/>
        </w:rPr>
        <w:t xml:space="preserve">Malgrat aquest descens, la tardor </w:t>
      </w:r>
      <w:r>
        <w:rPr>
          <w:rFonts w:cs="Arial"/>
        </w:rPr>
        <w:t xml:space="preserve">va </w:t>
      </w:r>
      <w:r w:rsidRPr="00AD65AE">
        <w:rPr>
          <w:rFonts w:cs="Arial"/>
        </w:rPr>
        <w:t>comença</w:t>
      </w:r>
      <w:r>
        <w:rPr>
          <w:rFonts w:cs="Arial"/>
        </w:rPr>
        <w:t>r</w:t>
      </w:r>
      <w:r w:rsidRPr="00AD65AE">
        <w:rPr>
          <w:rFonts w:cs="Arial"/>
        </w:rPr>
        <w:t xml:space="preserve"> amb força bosses de risc alt o molt alt d’incendi forestal, especialment a les Terres de l’Ebre, la plana de Lleida, l’oest de la Regió Centre i la Costa Brava. Les pluges </w:t>
      </w:r>
      <w:r>
        <w:rPr>
          <w:rFonts w:cs="Arial"/>
        </w:rPr>
        <w:t>d’aquestes darreres setmanes, però, han aconseguit rebaixar momentàniament el risc d’ignició, però cal tenir present que la vegetació, en general, continua patint els efectes del que ha estat l’estiu més càlid que hi ha hagut mai a Catalunya. A més, s</w:t>
      </w:r>
      <w:r w:rsidRPr="00AD65AE">
        <w:rPr>
          <w:rFonts w:cs="Arial"/>
        </w:rPr>
        <w:t xml:space="preserve">egons el </w:t>
      </w:r>
      <w:proofErr w:type="spellStart"/>
      <w:r w:rsidRPr="00AD65AE">
        <w:rPr>
          <w:rFonts w:cs="Arial"/>
        </w:rPr>
        <w:t>Meteocat</w:t>
      </w:r>
      <w:proofErr w:type="spellEnd"/>
      <w:r w:rsidRPr="00AD65AE">
        <w:rPr>
          <w:rFonts w:cs="Arial"/>
        </w:rPr>
        <w:t xml:space="preserve">, </w:t>
      </w:r>
      <w:r>
        <w:rPr>
          <w:rFonts w:cs="Arial"/>
        </w:rPr>
        <w:t>aquesta</w:t>
      </w:r>
      <w:r w:rsidRPr="00AD65AE">
        <w:rPr>
          <w:rFonts w:cs="Arial"/>
        </w:rPr>
        <w:t xml:space="preserve"> tardor serà més càlida del que és habitual</w:t>
      </w:r>
      <w:r>
        <w:rPr>
          <w:rFonts w:cs="Arial"/>
        </w:rPr>
        <w:t xml:space="preserve">. </w:t>
      </w:r>
      <w:r w:rsidRPr="00AD65AE">
        <w:rPr>
          <w:rFonts w:cs="Arial"/>
        </w:rPr>
        <w:t xml:space="preserve">Aquesta previsió fa que els </w:t>
      </w:r>
      <w:r w:rsidRPr="00AD65AE">
        <w:rPr>
          <w:rFonts w:cs="Arial"/>
        </w:rPr>
        <w:lastRenderedPageBreak/>
        <w:t xml:space="preserve">Bombers de la Generalitat no abaixin la guàrdia davant la possibilitat que hi hagi nous incendis. </w:t>
      </w:r>
      <w:r>
        <w:rPr>
          <w:rFonts w:cs="Arial"/>
        </w:rPr>
        <w:t>De fet, d’incendis greus fora de Campanya ja hi ha hagut altres anys, com ara el de Vilopriu, al novembre de 2013, que va cremar 869 hectàrees, o el de Roses, al febrer de 2022, amb 433 hectàrees afectades.</w:t>
      </w:r>
    </w:p>
    <w:p w14:paraId="6474EE6F" w14:textId="77777777" w:rsidR="00AC44A9" w:rsidRDefault="00AC44A9" w:rsidP="00AC44A9">
      <w:pPr>
        <w:jc w:val="both"/>
        <w:rPr>
          <w:rFonts w:cs="Arial"/>
        </w:rPr>
      </w:pPr>
    </w:p>
    <w:p w14:paraId="1D7EE6DC" w14:textId="4BC57ACA" w:rsidR="00AC44A9" w:rsidRPr="00AD65AE" w:rsidRDefault="00AC44A9" w:rsidP="00AC44A9">
      <w:pPr>
        <w:jc w:val="both"/>
        <w:rPr>
          <w:rFonts w:cs="Arial"/>
        </w:rPr>
      </w:pPr>
      <w:r>
        <w:rPr>
          <w:noProof/>
        </w:rPr>
        <w:drawing>
          <wp:inline distT="0" distB="0" distL="0" distR="0" wp14:anchorId="7204648E" wp14:editId="2D929F3D">
            <wp:extent cx="5265420" cy="3009900"/>
            <wp:effectExtent l="0" t="0" r="11430" b="0"/>
            <wp:docPr id="1920765747" name="Gràfic 1">
              <a:extLst xmlns:a="http://schemas.openxmlformats.org/drawingml/2006/main">
                <a:ext uri="{FF2B5EF4-FFF2-40B4-BE49-F238E27FC236}">
                  <a16:creationId xmlns:a16="http://schemas.microsoft.com/office/drawing/2014/main" id="{CECD6647-552C-77CB-4058-A61921EA09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5F78C88" w14:textId="6049CA3A" w:rsidR="00DF53BE" w:rsidRDefault="00AC44A9" w:rsidP="00DF53BE">
      <w:pPr>
        <w:jc w:val="both"/>
        <w:textAlignment w:val="baseline"/>
        <w:rPr>
          <w:rFonts w:cs="Arial"/>
          <w:color w:val="000000"/>
          <w:szCs w:val="24"/>
          <w:lang w:eastAsia="ca-ES"/>
        </w:rPr>
      </w:pPr>
      <w:r>
        <w:rPr>
          <w:noProof/>
        </w:rPr>
        <w:drawing>
          <wp:inline distT="0" distB="0" distL="0" distR="0" wp14:anchorId="09DFFAC6" wp14:editId="70A44063">
            <wp:extent cx="5234940" cy="3329940"/>
            <wp:effectExtent l="0" t="0" r="3810" b="3810"/>
            <wp:docPr id="1600446439" name="Gràfic 1">
              <a:extLst xmlns:a="http://schemas.openxmlformats.org/drawingml/2006/main">
                <a:ext uri="{FF2B5EF4-FFF2-40B4-BE49-F238E27FC236}">
                  <a16:creationId xmlns:a16="http://schemas.microsoft.com/office/drawing/2014/main" id="{D40C385F-1497-CACD-4D24-94275705CF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09904A9" w14:textId="77777777" w:rsidR="00AC44A9" w:rsidRDefault="00AC44A9"/>
    <w:p w14:paraId="3FD7F0FD" w14:textId="77777777" w:rsidR="00AC44A9" w:rsidRPr="00AD65AE" w:rsidRDefault="00AC44A9" w:rsidP="00AC44A9">
      <w:pPr>
        <w:jc w:val="both"/>
        <w:rPr>
          <w:rFonts w:cs="Arial"/>
          <w:b/>
          <w:bCs/>
        </w:rPr>
      </w:pPr>
      <w:r w:rsidRPr="00AD65AE">
        <w:rPr>
          <w:rFonts w:cs="Arial"/>
          <w:b/>
          <w:bCs/>
        </w:rPr>
        <w:t>Un estiu climatològicament crític</w:t>
      </w:r>
    </w:p>
    <w:p w14:paraId="6AF2D27C" w14:textId="77777777" w:rsidR="00AC44A9" w:rsidRDefault="00AC44A9" w:rsidP="00AC44A9">
      <w:pPr>
        <w:jc w:val="both"/>
        <w:rPr>
          <w:rFonts w:cs="Arial"/>
        </w:rPr>
      </w:pPr>
    </w:p>
    <w:p w14:paraId="5A44DD58" w14:textId="0EE46491" w:rsidR="00AC44A9" w:rsidRPr="00AD65AE" w:rsidRDefault="00AC44A9" w:rsidP="00AC44A9">
      <w:pPr>
        <w:jc w:val="both"/>
        <w:rPr>
          <w:rFonts w:cs="Arial"/>
        </w:rPr>
      </w:pPr>
      <w:r w:rsidRPr="00AD65AE">
        <w:rPr>
          <w:rFonts w:cs="Arial"/>
        </w:rPr>
        <w:t xml:space="preserve">La Campanya de 2026 ha posat en evidència </w:t>
      </w:r>
      <w:r w:rsidRPr="00AD65AE">
        <w:rPr>
          <w:rFonts w:cs="Arial"/>
          <w:b/>
          <w:bCs/>
        </w:rPr>
        <w:t>l’enduriment de les condicions meteorològiques en temporada d’estiu</w:t>
      </w:r>
      <w:r w:rsidRPr="00AD65AE">
        <w:rPr>
          <w:rFonts w:cs="Arial"/>
        </w:rPr>
        <w:t xml:space="preserve"> a causa de l’emergència climàtica. </w:t>
      </w:r>
      <w:r>
        <w:rPr>
          <w:rFonts w:cs="Arial"/>
        </w:rPr>
        <w:t xml:space="preserve">De fet, aquest ha estat l’estiu més càlid mai registrat a Catalunya. </w:t>
      </w:r>
      <w:r w:rsidRPr="00AD65AE">
        <w:rPr>
          <w:rFonts w:cs="Arial"/>
        </w:rPr>
        <w:t xml:space="preserve">Segons el </w:t>
      </w:r>
      <w:proofErr w:type="spellStart"/>
      <w:r w:rsidRPr="00AD65AE">
        <w:rPr>
          <w:rFonts w:cs="Arial"/>
        </w:rPr>
        <w:t>Meteocat</w:t>
      </w:r>
      <w:proofErr w:type="spellEnd"/>
      <w:r w:rsidRPr="00AD65AE">
        <w:rPr>
          <w:rFonts w:cs="Arial"/>
        </w:rPr>
        <w:t xml:space="preserve"> (SMC), la temperatura mitjana a tot Catalunya al llarg de l’estiu ha tingut una anomalia de +3 graus en més del 80% del país, en relació al període de referència </w:t>
      </w:r>
      <w:r w:rsidRPr="00AD65AE">
        <w:rPr>
          <w:rFonts w:cs="Arial"/>
        </w:rPr>
        <w:lastRenderedPageBreak/>
        <w:t xml:space="preserve">1991-2020. Els primers rècords de temperatura ja es van registrar abans de l’estiu: a Vinebre, per exemple, van arribar als 39,5 graus, la més alta mai registrada un mes de maig a Catalunya. Es va batre el rècord de temperatures en un mes de maig en 44 estacions del </w:t>
      </w:r>
      <w:proofErr w:type="spellStart"/>
      <w:r w:rsidRPr="00AD65AE">
        <w:rPr>
          <w:rFonts w:cs="Arial"/>
        </w:rPr>
        <w:t>Meteocat</w:t>
      </w:r>
      <w:proofErr w:type="spellEnd"/>
      <w:r w:rsidRPr="00AD65AE">
        <w:rPr>
          <w:rFonts w:cs="Arial"/>
        </w:rPr>
        <w:t xml:space="preserve"> (SMC) amb més de 20 anys de dades. Després, amb la intensa calor de la primera quinzena de juliol s’incrementava en 3,8 graus l’anomalia climàtica respecte la mitjana del període 1 de juny-15 de juliol, segons els registres de l’SMC. Però la calor i, per tant, el període de màxim risc d’incendi forestal, va abastar tot el mes: segons l’SMC, aquest juliol ha estat el més càlid i un dels més secs des de 1950. El Servei de Canvi Climàtic europeu, </w:t>
      </w:r>
      <w:proofErr w:type="spellStart"/>
      <w:r w:rsidRPr="00AD65AE">
        <w:rPr>
          <w:rFonts w:cs="Arial"/>
        </w:rPr>
        <w:t>Copernicus</w:t>
      </w:r>
      <w:proofErr w:type="spellEnd"/>
      <w:r w:rsidRPr="00AD65AE">
        <w:rPr>
          <w:rFonts w:cs="Arial"/>
        </w:rPr>
        <w:t xml:space="preserve">, indica que l’inici d’aquest estiu ha estat el més càlid mai registrat en tot el món, amb 2,79 graus més que la mitjana climàtica. També ha certificat que aquest agost ha estat el més càlid registrat mai en tot el món. </w:t>
      </w:r>
    </w:p>
    <w:p w14:paraId="5F8F02E6" w14:textId="77777777" w:rsidR="00AC44A9" w:rsidRDefault="00AC44A9"/>
    <w:p w14:paraId="41F9F37B" w14:textId="77777777" w:rsidR="00AC44A9" w:rsidRDefault="00AC44A9" w:rsidP="00AC44A9">
      <w:pPr>
        <w:jc w:val="both"/>
        <w:rPr>
          <w:rFonts w:cs="Arial"/>
        </w:rPr>
      </w:pPr>
      <w:r w:rsidRPr="00AD65AE">
        <w:rPr>
          <w:rFonts w:cs="Arial"/>
        </w:rPr>
        <w:t>Aquest escenari crític s’ha allargat fins al final de l’estiu, amb els Bombers de la Generalitat, per tant, en constant alerta davant de qualsevol ignició. AI setembre a Vinebre, el dia 4, es va arribar a un pic de calor sense precedents a Catalunya en aquesta alçada de l’any, amb un registre de 42,5 graus. També es van batre els rècords de temperatura mensual en altres punts de tot Catalunya, com ara a Lleida (39,9 graus) el Masroig (41,9), Vacarisses (37), el Pont de Suert (36) i Banyoles (38), entre d’altres localitats. L’Observatori Fabra (Barcelona), amb més de 100 de dades, va batre dos cops en tan sols 48 hores el rècord de temperatura un mes de setembre, fixant-lo en 34 graus divendres 5.</w:t>
      </w:r>
    </w:p>
    <w:p w14:paraId="5FB467CD" w14:textId="77777777" w:rsidR="00AC44A9" w:rsidRPr="00AD65AE" w:rsidRDefault="00AC44A9" w:rsidP="00AC44A9">
      <w:pPr>
        <w:jc w:val="both"/>
        <w:rPr>
          <w:rFonts w:cs="Arial"/>
        </w:rPr>
      </w:pPr>
    </w:p>
    <w:p w14:paraId="2CFE8CE7" w14:textId="77777777" w:rsidR="00AC44A9" w:rsidRDefault="00AC44A9" w:rsidP="00AC44A9">
      <w:pPr>
        <w:jc w:val="both"/>
        <w:rPr>
          <w:rFonts w:cs="Arial"/>
        </w:rPr>
      </w:pPr>
      <w:r w:rsidRPr="00AD65AE">
        <w:rPr>
          <w:rFonts w:cs="Arial"/>
        </w:rPr>
        <w:t xml:space="preserve">Aquest factor ha estat global; de fet, els incendis forestals han estat una constant en força països, aquest estiu: a l’Estat espanyol, a Portugal, França, Bèlgica, Grècia, Itàlia, Turquia, Romania i, fins i tot, molt més enllà, com per exemple, els Estats Units, el Canadà i ara més recentment, a Indonèsia i, a mitjan setembre, a les províncies de Màlaga, las Palmas, Càceres i València. A casa nostra, dimarts 15 de setembre els Bombers de la Generalitat van treballar en un incendi de vegetació agrícola, forestal i de terrenys erms a Alfarràs que va afectar unes 90 hectàrees, segons els Agents Rurals. </w:t>
      </w:r>
    </w:p>
    <w:p w14:paraId="240B80E7" w14:textId="77777777" w:rsidR="00AC44A9" w:rsidRPr="00AD65AE" w:rsidRDefault="00AC44A9" w:rsidP="00AC44A9">
      <w:pPr>
        <w:jc w:val="both"/>
        <w:rPr>
          <w:rFonts w:cs="Arial"/>
        </w:rPr>
      </w:pPr>
    </w:p>
    <w:p w14:paraId="3C703DE1" w14:textId="77777777" w:rsidR="00AC44A9" w:rsidRPr="00AD65AE" w:rsidRDefault="00AC44A9" w:rsidP="00AC44A9">
      <w:pPr>
        <w:jc w:val="both"/>
        <w:rPr>
          <w:rFonts w:cs="Arial"/>
        </w:rPr>
      </w:pPr>
      <w:r w:rsidRPr="00AD65AE">
        <w:rPr>
          <w:rFonts w:cs="Arial"/>
          <w:b/>
          <w:bCs/>
        </w:rPr>
        <w:t xml:space="preserve">Les altes temperatures de nit i matinada </w:t>
      </w:r>
      <w:r w:rsidRPr="00AD65AE">
        <w:rPr>
          <w:rFonts w:cs="Arial"/>
        </w:rPr>
        <w:t xml:space="preserve">ja no proporcionaven als Bombers la finestra d’oportunitat en hores nocturnes per avançar en les tasques d’extinció: ni recuperaven les humitats relatives ni es refrescava prou el terreny a causa de la calor, també de nit. Els focs, per tant, no perdien intensitat, sinó que continuaven creixent. És l’altra gran característica d’aquesta Campanya a Catalunya. </w:t>
      </w:r>
    </w:p>
    <w:p w14:paraId="4235394F" w14:textId="77777777" w:rsidR="00AC44A9" w:rsidRDefault="00AC44A9"/>
    <w:p w14:paraId="1ACDBCD6" w14:textId="77777777" w:rsidR="00E23747" w:rsidRDefault="00E23747" w:rsidP="00E23747">
      <w:pPr>
        <w:jc w:val="both"/>
        <w:rPr>
          <w:rFonts w:cs="Arial"/>
          <w:b/>
          <w:bCs/>
        </w:rPr>
      </w:pPr>
      <w:r w:rsidRPr="00AD65AE">
        <w:rPr>
          <w:rFonts w:cs="Arial"/>
          <w:b/>
          <w:bCs/>
        </w:rPr>
        <w:t>Virulència</w:t>
      </w:r>
    </w:p>
    <w:p w14:paraId="35E34CC5" w14:textId="77777777" w:rsidR="00E23747" w:rsidRPr="00AD65AE" w:rsidRDefault="00E23747" w:rsidP="00E23747">
      <w:pPr>
        <w:jc w:val="both"/>
        <w:rPr>
          <w:rFonts w:cs="Arial"/>
          <w:b/>
          <w:bCs/>
        </w:rPr>
      </w:pPr>
    </w:p>
    <w:p w14:paraId="61D21257" w14:textId="6C04E693" w:rsidR="00E23747" w:rsidRDefault="00E23747" w:rsidP="00E23747">
      <w:pPr>
        <w:jc w:val="both"/>
        <w:rPr>
          <w:rFonts w:cs="Arial"/>
          <w:color w:val="000000" w:themeColor="text1"/>
        </w:rPr>
      </w:pPr>
      <w:r w:rsidRPr="00AD65AE">
        <w:rPr>
          <w:rFonts w:cs="Arial"/>
        </w:rPr>
        <w:t xml:space="preserve">Aquest estiu de 2026 també hem tornat a viure la formació de </w:t>
      </w:r>
      <w:proofErr w:type="spellStart"/>
      <w:r w:rsidRPr="00AD65AE">
        <w:rPr>
          <w:rFonts w:cs="Arial"/>
        </w:rPr>
        <w:t>pirocúmuls</w:t>
      </w:r>
      <w:proofErr w:type="spellEnd"/>
      <w:r w:rsidRPr="00AD65AE">
        <w:rPr>
          <w:rFonts w:cs="Arial"/>
        </w:rPr>
        <w:t xml:space="preserve">, és a dir, grans núvols de fum, vapor i partícules incandescents, generats pels incendis, que acaben interactuant amb les capes més altes de l’atmosfera. El principal perill d’aquest fenomen és que aquests núvols s’acabin desplomant a gran velocitat i provoquin noves ignicions, a part de posar en risc la seguretat de les persones. De </w:t>
      </w:r>
      <w:proofErr w:type="spellStart"/>
      <w:r w:rsidRPr="00AD65AE">
        <w:rPr>
          <w:rFonts w:cs="Arial"/>
        </w:rPr>
        <w:t>pirocúmuls</w:t>
      </w:r>
      <w:proofErr w:type="spellEnd"/>
      <w:r w:rsidRPr="00AD65AE">
        <w:rPr>
          <w:rFonts w:cs="Arial"/>
        </w:rPr>
        <w:t xml:space="preserve"> se’n van començar a veure el 2005, en l’incendi forestal de Cardona, però des de 2022 han estat més habituals. Enguany els hem vist als incendis de la Bisbal d’Empordà, Sentmenat </w:t>
      </w:r>
      <w:r w:rsidRPr="00AD65AE">
        <w:rPr>
          <w:rFonts w:cs="Arial"/>
          <w:color w:val="000000" w:themeColor="text1"/>
        </w:rPr>
        <w:t xml:space="preserve">i Senet. El de la Bisbal va arribar a tenir gairebé 5 </w:t>
      </w:r>
      <w:r w:rsidRPr="00AD65AE">
        <w:rPr>
          <w:rFonts w:cs="Arial"/>
          <w:color w:val="000000" w:themeColor="text1"/>
        </w:rPr>
        <w:lastRenderedPageBreak/>
        <w:t>quilòmetres d’altura. La recurrència d’aquest fenomen és senyal inequívoc de la virulència dels incendis a què s’està fent front darrerament; també enguany.</w:t>
      </w:r>
    </w:p>
    <w:p w14:paraId="4E4EEB01" w14:textId="77777777" w:rsidR="00F87FAF" w:rsidRDefault="00F87FAF" w:rsidP="00E23747">
      <w:pPr>
        <w:jc w:val="both"/>
        <w:rPr>
          <w:rFonts w:cs="Arial"/>
          <w:b/>
          <w:bCs/>
        </w:rPr>
      </w:pPr>
    </w:p>
    <w:p w14:paraId="18E81C51" w14:textId="20A75404" w:rsidR="00E23747" w:rsidRDefault="00E23747" w:rsidP="00E23747">
      <w:pPr>
        <w:jc w:val="both"/>
        <w:rPr>
          <w:rFonts w:cs="Arial"/>
          <w:b/>
          <w:bCs/>
        </w:rPr>
      </w:pPr>
      <w:r w:rsidRPr="00AD65AE">
        <w:rPr>
          <w:rFonts w:cs="Arial"/>
          <w:b/>
          <w:bCs/>
        </w:rPr>
        <w:t>Simultaneïtat d’incendis</w:t>
      </w:r>
    </w:p>
    <w:p w14:paraId="7D14D151" w14:textId="77777777" w:rsidR="00E23747" w:rsidRPr="00AD65AE" w:rsidRDefault="00E23747" w:rsidP="00E23747">
      <w:pPr>
        <w:jc w:val="both"/>
        <w:rPr>
          <w:rFonts w:cs="Arial"/>
          <w:b/>
          <w:bCs/>
        </w:rPr>
      </w:pPr>
    </w:p>
    <w:p w14:paraId="1B931509" w14:textId="77777777" w:rsidR="00E23747" w:rsidRDefault="00E23747" w:rsidP="00E23747">
      <w:pPr>
        <w:jc w:val="both"/>
        <w:rPr>
          <w:rFonts w:cs="Arial"/>
        </w:rPr>
      </w:pPr>
      <w:r w:rsidRPr="00AD65AE">
        <w:rPr>
          <w:rFonts w:cs="Arial"/>
        </w:rPr>
        <w:t>Juliol va ser un mes extremadament complicat. Una successió d’onades de calor, que van afectar gairebé tota l’Europa Occidental i la central, més l’acumulació de força dies sense ploure, van elevar considerablement el risc d’incendi forestal arreu. A Catalunya, els pitjors dies es van viure al llarg de la primera quinzena del mes, des de l’incendi forestal de la Bisbal d’Empordà, que va començar el dia 3, fins al d’Aiguamúrcia del dia 15.</w:t>
      </w:r>
    </w:p>
    <w:p w14:paraId="2EED3B61" w14:textId="77777777" w:rsidR="00E23747" w:rsidRPr="00AD65AE" w:rsidRDefault="00E23747" w:rsidP="00E23747">
      <w:pPr>
        <w:jc w:val="both"/>
        <w:rPr>
          <w:rFonts w:cs="Arial"/>
        </w:rPr>
      </w:pPr>
    </w:p>
    <w:p w14:paraId="749ACA4A" w14:textId="510D9C2F" w:rsidR="00E23747" w:rsidRDefault="00E23747" w:rsidP="00E23747">
      <w:pPr>
        <w:jc w:val="both"/>
        <w:rPr>
          <w:rFonts w:cs="Arial"/>
        </w:rPr>
      </w:pPr>
      <w:r w:rsidRPr="00AD65AE">
        <w:rPr>
          <w:rFonts w:cs="Arial"/>
        </w:rPr>
        <w:t xml:space="preserve">Al llarg d’aquelles dues setmanes, els Bombers de la Generalitat van haver de fer front a diversos incendis de vegetació; els més grans, a Sentmenat, Carme, Torrefeta i Florejacs, el Pla de Manlleu, Navarcles, Guimerà, Aiguamúrcia, Castellfollit del Boix i Sant Quirze Safaja. En 12 dies, es va treballar de forma simultània en 10 incendis grans més el de Gavà, que tot i afectar poc més de 9 hectàrees, va obligar a confinar unes 6.000 persones en dies de molta mobilitat per les primeres vacances d’estiu. De fet, la Campanya </w:t>
      </w:r>
      <w:r>
        <w:rPr>
          <w:rFonts w:cs="Arial"/>
        </w:rPr>
        <w:t>d’incendis</w:t>
      </w:r>
      <w:r w:rsidRPr="00AD65AE">
        <w:rPr>
          <w:rFonts w:cs="Arial"/>
        </w:rPr>
        <w:t xml:space="preserve"> de 2026 també s’ha caracteritzat per ser la que més incendis actius ha tingut de forma simultània i durant més dies seguits.</w:t>
      </w:r>
    </w:p>
    <w:p w14:paraId="06283F36" w14:textId="77777777" w:rsidR="00E23747" w:rsidRPr="00AD65AE" w:rsidRDefault="00E23747" w:rsidP="00E23747">
      <w:pPr>
        <w:jc w:val="both"/>
        <w:rPr>
          <w:rFonts w:cs="Arial"/>
        </w:rPr>
      </w:pPr>
    </w:p>
    <w:p w14:paraId="714F78C8" w14:textId="77777777" w:rsidR="00E23747" w:rsidRPr="00AD65AE" w:rsidRDefault="00E23747" w:rsidP="00E23747">
      <w:pPr>
        <w:jc w:val="both"/>
        <w:rPr>
          <w:rFonts w:cs="Arial"/>
        </w:rPr>
      </w:pPr>
      <w:r w:rsidRPr="00AD65AE">
        <w:rPr>
          <w:rFonts w:cs="Arial"/>
        </w:rPr>
        <w:t xml:space="preserve">La </w:t>
      </w:r>
      <w:r w:rsidRPr="00AD65AE">
        <w:rPr>
          <w:rFonts w:cs="Arial"/>
          <w:b/>
          <w:bCs/>
        </w:rPr>
        <w:t>simultaneïtat</w:t>
      </w:r>
      <w:r w:rsidRPr="00AD65AE">
        <w:rPr>
          <w:rFonts w:cs="Arial"/>
        </w:rPr>
        <w:t xml:space="preserve"> d’incendis, com la que van viure aquells dies de juliol, obliga a repartir recursos i a planificar atacs inicials molt contundents per reduir al màxim la coexistència de dos o més focs i no fer col·lapsar el sistema de resposta. Aquesta és una de les característiques més destacades de la Campanya. Tot i la gravetat de la situació aquells dies, els Bombers de la Generalitat van fer front amb èxit als diversos incendis i van coordinar la resposta de totes les agències implicades en l’emergència, preservant la seguretat de les persones afectades: habitants i turistes de les àrees en què es desenvolupaven els incendis i, per descomptat, efectius de Bombers. Les claus van ser la robustesa del sistema de comandament del Cos i el complex treball d’anàlisi de tots els incendis, inclosos el potencial i l’evolució prevista del foc. Aquests factors van permetre donar una resposta global molt intensa i més eficient i segura per a les persones.</w:t>
      </w:r>
    </w:p>
    <w:p w14:paraId="2D7ABBED" w14:textId="77777777" w:rsidR="00E23747" w:rsidRPr="00AD65AE" w:rsidRDefault="00E23747" w:rsidP="00E23747">
      <w:pPr>
        <w:jc w:val="both"/>
        <w:rPr>
          <w:rFonts w:cs="Arial"/>
        </w:rPr>
      </w:pPr>
    </w:p>
    <w:p w14:paraId="2C62072E" w14:textId="77777777" w:rsidR="00E23747" w:rsidRDefault="00E23747" w:rsidP="00E23747">
      <w:pPr>
        <w:jc w:val="both"/>
        <w:rPr>
          <w:rFonts w:cs="Arial"/>
          <w:b/>
          <w:bCs/>
        </w:rPr>
      </w:pPr>
      <w:r w:rsidRPr="00AD65AE">
        <w:rPr>
          <w:rFonts w:cs="Arial"/>
          <w:b/>
          <w:bCs/>
        </w:rPr>
        <w:t>L’incendi de la Bisbal d’Empordà</w:t>
      </w:r>
    </w:p>
    <w:p w14:paraId="61939BBD" w14:textId="77777777" w:rsidR="00E23747" w:rsidRPr="00AD65AE" w:rsidRDefault="00E23747" w:rsidP="00E23747">
      <w:pPr>
        <w:jc w:val="both"/>
        <w:rPr>
          <w:rFonts w:cs="Arial"/>
          <w:b/>
          <w:bCs/>
        </w:rPr>
      </w:pPr>
    </w:p>
    <w:p w14:paraId="47BA2A74" w14:textId="77777777" w:rsidR="00E23747" w:rsidRDefault="00E23747" w:rsidP="00E23747">
      <w:pPr>
        <w:jc w:val="both"/>
        <w:rPr>
          <w:rFonts w:cs="Arial"/>
        </w:rPr>
      </w:pPr>
      <w:r w:rsidRPr="00AD65AE">
        <w:rPr>
          <w:rFonts w:cs="Arial"/>
        </w:rPr>
        <w:t xml:space="preserve">L’incendi més gran d’aquest estiu, el de la Bisbal d’Empordà, va començar al matí de divendres 3 de juliol. Segons dades del Cos d’Agents Rurals, el foc va afectar 2197,57 hectàrees (2.134,44 d’elles, dins l’espai natural Massís de les Gavarres). Aquella jornada, érem a les portes de la segona onada de calor de l’estiu i tan sols feia nou dies que havia passat la primera. A l’Empordà bufava la tramuntana, les humitats relatives havien estat molt baixes, al llarg de la matinada anterior, i es preveia que al llarg del dia anessin pujant encara més les temperatures. Que el foc comencés poc després de les 9 del matí és una mostra de l’estat en què es trobava la vegetació. Poc més de dues hores després d’haver començat, i amb un avanç de 2,2 km/h, l’incendi va quedar fora de la capacitat d’extinció. Va fer un </w:t>
      </w:r>
      <w:proofErr w:type="spellStart"/>
      <w:r w:rsidRPr="00AD65AE">
        <w:rPr>
          <w:rFonts w:cs="Arial"/>
        </w:rPr>
        <w:t>pirocúmul</w:t>
      </w:r>
      <w:proofErr w:type="spellEnd"/>
      <w:r w:rsidRPr="00AD65AE">
        <w:rPr>
          <w:rFonts w:cs="Arial"/>
        </w:rPr>
        <w:t xml:space="preserve"> de gairebé 5 km d’altura i va llançar nombrosos focus secundaris a gran distància del front de foc; se’n van trobar, fins i tot, a un quilòmetre de distància. </w:t>
      </w:r>
    </w:p>
    <w:p w14:paraId="5201C2E3" w14:textId="77777777" w:rsidR="00E23747" w:rsidRPr="00AD65AE" w:rsidRDefault="00E23747" w:rsidP="00E23747">
      <w:pPr>
        <w:jc w:val="both"/>
        <w:rPr>
          <w:rFonts w:cs="Arial"/>
        </w:rPr>
      </w:pPr>
    </w:p>
    <w:p w14:paraId="4BFB8D90" w14:textId="77777777" w:rsidR="00E23747" w:rsidRDefault="00E23747" w:rsidP="00E23747">
      <w:pPr>
        <w:jc w:val="both"/>
        <w:rPr>
          <w:rFonts w:cs="Arial"/>
        </w:rPr>
      </w:pPr>
      <w:r w:rsidRPr="00AD65AE">
        <w:rPr>
          <w:rFonts w:cs="Arial"/>
        </w:rPr>
        <w:t xml:space="preserve">Fins aleshores, Catalunya havia estat l’únic lloc del seu entorn sense cap incendi forestal especialment greu: A l’Aragó, el dimarts 30 de juny en va començar un a la serra </w:t>
      </w:r>
      <w:proofErr w:type="spellStart"/>
      <w:r w:rsidRPr="00AD65AE">
        <w:rPr>
          <w:rFonts w:cs="Arial"/>
        </w:rPr>
        <w:t>d’Alcubierre</w:t>
      </w:r>
      <w:proofErr w:type="spellEnd"/>
      <w:r w:rsidRPr="00AD65AE">
        <w:rPr>
          <w:rFonts w:cs="Arial"/>
        </w:rPr>
        <w:t>, que va cremar més de 3.000 hectàrees; dijous 2 se n’havia declarat un altre a la Catalunya Nord, que va afectar 40 hectàrees però va generar molts problemes de seguretat a la població, en cremar 281 bungalous i fer evacuar unes 3.000 persones que estiuejaven en càmpings de la zona. Dissabte 4 en començaria un de nou a menys de 40 quilòmetres de Perpinyà, arrasant unes 1.650 hectàrees de vegetació.</w:t>
      </w:r>
    </w:p>
    <w:p w14:paraId="5C72483B" w14:textId="77777777" w:rsidR="00E23747" w:rsidRDefault="00E23747" w:rsidP="00E23747">
      <w:pPr>
        <w:jc w:val="both"/>
        <w:rPr>
          <w:rFonts w:cs="Arial"/>
        </w:rPr>
      </w:pPr>
    </w:p>
    <w:p w14:paraId="70713056" w14:textId="77777777" w:rsidR="00E23747" w:rsidRDefault="00E23747" w:rsidP="00E23747">
      <w:pPr>
        <w:jc w:val="both"/>
        <w:rPr>
          <w:rFonts w:cs="Arial"/>
          <w:b/>
          <w:bCs/>
        </w:rPr>
      </w:pPr>
      <w:r w:rsidRPr="00AD65AE">
        <w:rPr>
          <w:rFonts w:cs="Arial"/>
          <w:b/>
          <w:bCs/>
        </w:rPr>
        <w:t>Vulnerabilitat dels Pirineus</w:t>
      </w:r>
    </w:p>
    <w:p w14:paraId="564E2A63" w14:textId="77777777" w:rsidR="00E23747" w:rsidRPr="00AD65AE" w:rsidRDefault="00E23747" w:rsidP="00E23747">
      <w:pPr>
        <w:jc w:val="both"/>
        <w:rPr>
          <w:rFonts w:cs="Arial"/>
          <w:b/>
          <w:bCs/>
        </w:rPr>
      </w:pPr>
    </w:p>
    <w:p w14:paraId="41583FAA" w14:textId="77777777" w:rsidR="00E23747" w:rsidRDefault="00E23747" w:rsidP="00E23747">
      <w:pPr>
        <w:jc w:val="both"/>
        <w:rPr>
          <w:rFonts w:cs="Arial"/>
        </w:rPr>
      </w:pPr>
      <w:r w:rsidRPr="00AD65AE">
        <w:rPr>
          <w:rFonts w:cs="Arial"/>
        </w:rPr>
        <w:t xml:space="preserve">Encara hi ha una altra lliçó apresa aquesta Campanya de 2026: </w:t>
      </w:r>
      <w:r w:rsidRPr="00AD65AE">
        <w:rPr>
          <w:rFonts w:cs="Arial"/>
          <w:b/>
          <w:bCs/>
        </w:rPr>
        <w:t>la vulnerabilitat dels Pirineus</w:t>
      </w:r>
      <w:r w:rsidRPr="00AD65AE">
        <w:rPr>
          <w:rFonts w:cs="Arial"/>
        </w:rPr>
        <w:t xml:space="preserve">, que no han quedat pas al marge de l’anomalia tèrmica d’aquest estiu. Segons el </w:t>
      </w:r>
      <w:proofErr w:type="spellStart"/>
      <w:r w:rsidRPr="00AD65AE">
        <w:rPr>
          <w:rFonts w:cs="Arial"/>
        </w:rPr>
        <w:t>Meteocat</w:t>
      </w:r>
      <w:proofErr w:type="spellEnd"/>
      <w:r w:rsidRPr="00AD65AE">
        <w:rPr>
          <w:rFonts w:cs="Arial"/>
        </w:rPr>
        <w:t>, en aquesta zona s’han superat el 4 graus d’anomalia tèrmica en un estiu en relació al període de referència 1991-2020. El 31 de juliol, l’estació de l’Agència Espanyola de Meteorologia a Bossòst (Val d’Aran) registrava 40,1 graus. El mes acabava amb una tempesta seca al Pirineu, que va originar diversos incendis de llamp en zones d’alta muntanya i de molt difícil accés. El més gran, a Senet, que va trigar 6 dies a ser estabilitzat i va cremar 108,97 hectàrees, segons el Cos d’Agents Rurals. Els Bombers hi van accedir en helicòpter i van haver de treballar amb eines manuals però a les zones mitjanes i baixes de l’incendi no van poder treballar donat el perill de rodolament de roques i soques incandescents: la zona afectada tenia un pendent mitjà del 80% i uns 280 metres de desnivell.</w:t>
      </w:r>
    </w:p>
    <w:p w14:paraId="60B764EF" w14:textId="77777777" w:rsidR="00E23747" w:rsidRPr="00AD65AE" w:rsidRDefault="00E23747" w:rsidP="00E23747">
      <w:pPr>
        <w:jc w:val="both"/>
        <w:rPr>
          <w:rFonts w:cs="Arial"/>
        </w:rPr>
      </w:pPr>
    </w:p>
    <w:p w14:paraId="718F304D" w14:textId="77777777" w:rsidR="00E23747" w:rsidRPr="00AD65AE" w:rsidRDefault="00E23747" w:rsidP="00E23747">
      <w:pPr>
        <w:jc w:val="both"/>
        <w:rPr>
          <w:rFonts w:cs="Arial"/>
        </w:rPr>
      </w:pPr>
      <w:r w:rsidRPr="00AD65AE">
        <w:rPr>
          <w:rFonts w:cs="Arial"/>
        </w:rPr>
        <w:t xml:space="preserve">A part de l’incendi de Senet, al llarg de l’estiu hi ha hagut altres incendis a la zona, i no només a Catalunya sinó també a Andorra i l’Aragó: el 4 d’agost, per exemple, en va haver 7 de simultanis en diversos punts de la província d’Osca. Ara, al setembre, també n’hi ha hagut; l’últim, a Rialp, just l’endemà d’un altre foc a la Baronia de Rialp en una zona de molt difícil accés i que va fer activar 21 dotacions terrestres. </w:t>
      </w:r>
    </w:p>
    <w:p w14:paraId="5BC16ED1" w14:textId="77777777" w:rsidR="00E23747" w:rsidRPr="00AD65AE" w:rsidRDefault="00E23747" w:rsidP="00E23747">
      <w:pPr>
        <w:jc w:val="both"/>
        <w:rPr>
          <w:rFonts w:cs="Arial"/>
        </w:rPr>
      </w:pPr>
    </w:p>
    <w:p w14:paraId="14CA80AF" w14:textId="77777777" w:rsidR="00E23747" w:rsidRDefault="00E23747" w:rsidP="00E23747">
      <w:pPr>
        <w:jc w:val="both"/>
        <w:rPr>
          <w:rFonts w:cs="Arial"/>
          <w:b/>
          <w:bCs/>
        </w:rPr>
      </w:pPr>
      <w:r w:rsidRPr="00AD65AE">
        <w:rPr>
          <w:rFonts w:cs="Arial"/>
          <w:b/>
          <w:bCs/>
        </w:rPr>
        <w:t>Ajut extern</w:t>
      </w:r>
    </w:p>
    <w:p w14:paraId="08C4D3D6" w14:textId="77777777" w:rsidR="00E23747" w:rsidRPr="00AD65AE" w:rsidRDefault="00E23747" w:rsidP="00E23747">
      <w:pPr>
        <w:jc w:val="both"/>
        <w:rPr>
          <w:rFonts w:cs="Arial"/>
          <w:b/>
          <w:bCs/>
        </w:rPr>
      </w:pPr>
    </w:p>
    <w:p w14:paraId="37B7767E" w14:textId="77777777" w:rsidR="00E23747" w:rsidRDefault="00E23747" w:rsidP="00E23747">
      <w:pPr>
        <w:jc w:val="both"/>
        <w:rPr>
          <w:rFonts w:cs="Arial"/>
        </w:rPr>
      </w:pPr>
      <w:r w:rsidRPr="00AD65AE">
        <w:rPr>
          <w:rFonts w:cs="Arial"/>
        </w:rPr>
        <w:t xml:space="preserve">Al llarg de l’estiu, els Bombers de la Generalitat han donat suport a les tasques d’extinció d’alguns dels incendis que afectaven Aragó i també van participar en les del foc de la Vall d’Uixó (Castelló), que va cremar 9.600 hectàrees, i en el dispositiu de </w:t>
      </w:r>
      <w:proofErr w:type="spellStart"/>
      <w:r w:rsidRPr="00AD65AE">
        <w:rPr>
          <w:rFonts w:cs="Arial"/>
        </w:rPr>
        <w:t>Burgohondo</w:t>
      </w:r>
      <w:proofErr w:type="spellEnd"/>
      <w:r w:rsidRPr="00AD65AE">
        <w:rPr>
          <w:rFonts w:cs="Arial"/>
        </w:rPr>
        <w:t xml:space="preserve"> (Àvila), amb més de 38.000 hectàrees afectades. També s’ha donat suport operatiu i d’anàlisi en els dos incendis forestals que han afectat la serra de Collserola, a la banda de Barcelona. L’ajut també s’ha estès a Bèlgica, que aquest estiu ha viscut el pitjor incendi forestal de la seva història. Tres membres dels Bombers de la Generalitat van assessorar en l’estratègia d’extinció del l’incendi, que va cremar més de 3.000 hectàrees al parc natural de les </w:t>
      </w:r>
      <w:proofErr w:type="spellStart"/>
      <w:r w:rsidRPr="00AD65AE">
        <w:rPr>
          <w:rFonts w:cs="Arial"/>
        </w:rPr>
        <w:t>Hautes</w:t>
      </w:r>
      <w:proofErr w:type="spellEnd"/>
      <w:r w:rsidRPr="00AD65AE">
        <w:rPr>
          <w:rFonts w:cs="Arial"/>
        </w:rPr>
        <w:t xml:space="preserve"> </w:t>
      </w:r>
      <w:proofErr w:type="spellStart"/>
      <w:r w:rsidRPr="00AD65AE">
        <w:rPr>
          <w:rFonts w:cs="Arial"/>
        </w:rPr>
        <w:t>Fagnes</w:t>
      </w:r>
      <w:proofErr w:type="spellEnd"/>
      <w:r w:rsidRPr="00AD65AE">
        <w:rPr>
          <w:rFonts w:cs="Arial"/>
        </w:rPr>
        <w:t>.</w:t>
      </w:r>
    </w:p>
    <w:p w14:paraId="3C974CA8" w14:textId="77777777" w:rsidR="00E23747" w:rsidRPr="00AD65AE" w:rsidRDefault="00E23747" w:rsidP="00E23747">
      <w:pPr>
        <w:jc w:val="both"/>
        <w:rPr>
          <w:rFonts w:cs="Arial"/>
        </w:rPr>
      </w:pPr>
    </w:p>
    <w:p w14:paraId="14498D1A" w14:textId="77777777" w:rsidR="00E23747" w:rsidRPr="00AD65AE" w:rsidRDefault="00E23747" w:rsidP="00E23747">
      <w:pPr>
        <w:jc w:val="both"/>
        <w:rPr>
          <w:rFonts w:cs="Arial"/>
        </w:rPr>
      </w:pPr>
      <w:r w:rsidRPr="00AD65AE">
        <w:rPr>
          <w:rFonts w:cs="Arial"/>
        </w:rPr>
        <w:t xml:space="preserve">En paral·lel, el Grup d’Actuacions Forestals (GRAF) ha fet seguiment dels diferents episodis d’incendis crítics que hi ha hagut arreu del planeta, fins i tot el que afecta Indonèsia des de fa mesos i que ha afectat més de 200.000 hectàrees entre gener </w:t>
      </w:r>
      <w:r w:rsidRPr="00AD65AE">
        <w:rPr>
          <w:rFonts w:cs="Arial"/>
        </w:rPr>
        <w:lastRenderedPageBreak/>
        <w:t xml:space="preserve">i juliol. Els de Sumatra i Borneo, ara al setembre, han forçat la veïna Malàisia a activar l’emergència nacional a causa de la intensa fumera provocada pels nombrosos focs registrats. L’estudi del comportament del foc i les condicions en què comencen i creixen té un gran valor científic: ajuda els Bombers de la Generalitat a prendre decisions tàctiques clau gràcies a la previsió d’escenaris en què els incendis podran ser atacats amb major eficàcia. </w:t>
      </w:r>
    </w:p>
    <w:p w14:paraId="7B91A183" w14:textId="77777777" w:rsidR="00AC44A9" w:rsidRDefault="00AC44A9"/>
    <w:p w14:paraId="1DDD421B" w14:textId="77777777" w:rsidR="00E23747" w:rsidRDefault="00E23747">
      <w:r>
        <w:tab/>
      </w:r>
    </w:p>
    <w:tbl>
      <w:tblPr>
        <w:tblStyle w:val="Taulaambquadrcula"/>
        <w:tblW w:w="0" w:type="auto"/>
        <w:tblLook w:val="04A0" w:firstRow="1" w:lastRow="0" w:firstColumn="1" w:lastColumn="0" w:noHBand="0" w:noVBand="1"/>
      </w:tblPr>
      <w:tblGrid>
        <w:gridCol w:w="2263"/>
        <w:gridCol w:w="993"/>
        <w:gridCol w:w="992"/>
        <w:gridCol w:w="1134"/>
      </w:tblGrid>
      <w:tr w:rsidR="00E23747" w14:paraId="7AA5ECE6" w14:textId="77777777" w:rsidTr="00EE3CD0">
        <w:tc>
          <w:tcPr>
            <w:tcW w:w="5382" w:type="dxa"/>
            <w:gridSpan w:val="4"/>
            <w:shd w:val="clear" w:color="auto" w:fill="C0504D" w:themeFill="accent2"/>
          </w:tcPr>
          <w:p w14:paraId="4C3DD1C9" w14:textId="77777777" w:rsidR="00E23747" w:rsidRPr="00E16CBA" w:rsidRDefault="00E23747" w:rsidP="00EE3CD0">
            <w:pPr>
              <w:jc w:val="center"/>
              <w:rPr>
                <w:b/>
                <w:bCs/>
              </w:rPr>
            </w:pPr>
            <w:r w:rsidRPr="00E16CBA">
              <w:rPr>
                <w:b/>
                <w:bCs/>
              </w:rPr>
              <w:t>Incendis de vegetació (1 de juny a 15 de setembre)</w:t>
            </w:r>
          </w:p>
        </w:tc>
      </w:tr>
      <w:tr w:rsidR="00E23747" w14:paraId="6AD3E2E1" w14:textId="77777777" w:rsidTr="00E23747">
        <w:tc>
          <w:tcPr>
            <w:tcW w:w="2263" w:type="dxa"/>
            <w:shd w:val="clear" w:color="auto" w:fill="F2DBDB" w:themeFill="accent2" w:themeFillTint="33"/>
            <w:vAlign w:val="bottom"/>
          </w:tcPr>
          <w:p w14:paraId="4A7E2E70" w14:textId="77777777" w:rsidR="00E23747" w:rsidRPr="00E16CBA" w:rsidRDefault="00E23747" w:rsidP="00EE3CD0">
            <w:pPr>
              <w:rPr>
                <w:rFonts w:ascii="Calibri" w:eastAsia="Times New Roman" w:hAnsi="Calibri" w:cs="Calibri"/>
                <w:color w:val="000000"/>
                <w:kern w:val="0"/>
                <w:lang w:eastAsia="ca-ES"/>
                <w14:ligatures w14:val="none"/>
              </w:rPr>
            </w:pPr>
          </w:p>
        </w:tc>
        <w:tc>
          <w:tcPr>
            <w:tcW w:w="993" w:type="dxa"/>
            <w:shd w:val="clear" w:color="auto" w:fill="F2DBDB" w:themeFill="accent2" w:themeFillTint="33"/>
            <w:vAlign w:val="bottom"/>
          </w:tcPr>
          <w:p w14:paraId="65C85454" w14:textId="77777777" w:rsidR="00E23747" w:rsidRPr="00E16CBA" w:rsidRDefault="00E23747" w:rsidP="00EE3CD0">
            <w:pPr>
              <w:jc w:val="center"/>
              <w:rPr>
                <w:rFonts w:ascii="Calibri" w:eastAsia="Times New Roman" w:hAnsi="Calibri" w:cs="Calibri"/>
                <w:b/>
                <w:bCs/>
                <w:color w:val="000000"/>
                <w:kern w:val="0"/>
                <w:lang w:eastAsia="ca-ES"/>
                <w14:ligatures w14:val="none"/>
              </w:rPr>
            </w:pPr>
            <w:r w:rsidRPr="00E16CBA">
              <w:rPr>
                <w:rFonts w:ascii="Calibri" w:eastAsia="Times New Roman" w:hAnsi="Calibri" w:cs="Calibri"/>
                <w:b/>
                <w:bCs/>
                <w:color w:val="000000"/>
                <w:kern w:val="0"/>
                <w:lang w:eastAsia="ca-ES"/>
                <w14:ligatures w14:val="none"/>
              </w:rPr>
              <w:t>2024</w:t>
            </w:r>
          </w:p>
        </w:tc>
        <w:tc>
          <w:tcPr>
            <w:tcW w:w="992" w:type="dxa"/>
            <w:shd w:val="clear" w:color="auto" w:fill="F2DBDB" w:themeFill="accent2" w:themeFillTint="33"/>
            <w:vAlign w:val="bottom"/>
          </w:tcPr>
          <w:p w14:paraId="51580BF5" w14:textId="77777777" w:rsidR="00E23747" w:rsidRPr="00E16CBA" w:rsidRDefault="00E23747" w:rsidP="00EE3CD0">
            <w:pPr>
              <w:jc w:val="center"/>
              <w:rPr>
                <w:rFonts w:ascii="Calibri" w:eastAsia="Times New Roman" w:hAnsi="Calibri" w:cs="Calibri"/>
                <w:b/>
                <w:bCs/>
                <w:color w:val="000000"/>
                <w:kern w:val="0"/>
                <w:lang w:eastAsia="ca-ES"/>
                <w14:ligatures w14:val="none"/>
              </w:rPr>
            </w:pPr>
            <w:r w:rsidRPr="00E16CBA">
              <w:rPr>
                <w:rFonts w:ascii="Calibri" w:eastAsia="Times New Roman" w:hAnsi="Calibri" w:cs="Calibri"/>
                <w:b/>
                <w:bCs/>
                <w:color w:val="000000"/>
                <w:kern w:val="0"/>
                <w:lang w:eastAsia="ca-ES"/>
                <w14:ligatures w14:val="none"/>
              </w:rPr>
              <w:t>2025</w:t>
            </w:r>
          </w:p>
        </w:tc>
        <w:tc>
          <w:tcPr>
            <w:tcW w:w="1134" w:type="dxa"/>
            <w:shd w:val="clear" w:color="auto" w:fill="F2DBDB" w:themeFill="accent2" w:themeFillTint="33"/>
            <w:vAlign w:val="bottom"/>
          </w:tcPr>
          <w:p w14:paraId="39CF8FFE" w14:textId="77777777" w:rsidR="00E23747" w:rsidRPr="00E16CBA" w:rsidRDefault="00E23747" w:rsidP="00EE3CD0">
            <w:pPr>
              <w:jc w:val="center"/>
              <w:rPr>
                <w:rFonts w:ascii="Calibri" w:eastAsia="Times New Roman" w:hAnsi="Calibri" w:cs="Calibri"/>
                <w:b/>
                <w:bCs/>
                <w:color w:val="000000"/>
                <w:kern w:val="0"/>
                <w:lang w:eastAsia="ca-ES"/>
                <w14:ligatures w14:val="none"/>
              </w:rPr>
            </w:pPr>
            <w:r w:rsidRPr="00E16CBA">
              <w:rPr>
                <w:rFonts w:ascii="Calibri" w:eastAsia="Times New Roman" w:hAnsi="Calibri" w:cs="Calibri"/>
                <w:b/>
                <w:bCs/>
                <w:color w:val="000000"/>
                <w:kern w:val="0"/>
                <w:lang w:eastAsia="ca-ES"/>
                <w14:ligatures w14:val="none"/>
              </w:rPr>
              <w:t>2026</w:t>
            </w:r>
          </w:p>
        </w:tc>
      </w:tr>
      <w:tr w:rsidR="00E23747" w14:paraId="4AA564DA" w14:textId="77777777" w:rsidTr="00E23747">
        <w:tc>
          <w:tcPr>
            <w:tcW w:w="2263" w:type="dxa"/>
            <w:shd w:val="clear" w:color="auto" w:fill="F2DBDB" w:themeFill="accent2" w:themeFillTint="33"/>
            <w:vAlign w:val="bottom"/>
          </w:tcPr>
          <w:p w14:paraId="5DB3C93F" w14:textId="77777777" w:rsidR="00E23747" w:rsidRPr="00E16CBA" w:rsidRDefault="00E23747" w:rsidP="00EE3CD0">
            <w:pPr>
              <w:rPr>
                <w:b/>
                <w:bCs/>
              </w:rPr>
            </w:pPr>
            <w:r w:rsidRPr="00E16CBA">
              <w:rPr>
                <w:rFonts w:ascii="Calibri" w:eastAsia="Times New Roman" w:hAnsi="Calibri" w:cs="Calibri"/>
                <w:b/>
                <w:bCs/>
                <w:color w:val="000000"/>
                <w:kern w:val="0"/>
                <w:lang w:eastAsia="ca-ES"/>
                <w14:ligatures w14:val="none"/>
              </w:rPr>
              <w:t>Centre</w:t>
            </w:r>
          </w:p>
        </w:tc>
        <w:tc>
          <w:tcPr>
            <w:tcW w:w="993" w:type="dxa"/>
            <w:vAlign w:val="bottom"/>
          </w:tcPr>
          <w:p w14:paraId="553C6B4C" w14:textId="77777777" w:rsidR="00E23747" w:rsidRDefault="00E23747" w:rsidP="00EE3CD0">
            <w:pPr>
              <w:jc w:val="center"/>
            </w:pPr>
            <w:r w:rsidRPr="00E16CBA">
              <w:rPr>
                <w:rFonts w:ascii="Calibri" w:eastAsia="Times New Roman" w:hAnsi="Calibri" w:cs="Calibri"/>
                <w:color w:val="000000"/>
                <w:kern w:val="0"/>
                <w:lang w:eastAsia="ca-ES"/>
                <w14:ligatures w14:val="none"/>
              </w:rPr>
              <w:t>75</w:t>
            </w:r>
          </w:p>
        </w:tc>
        <w:tc>
          <w:tcPr>
            <w:tcW w:w="992" w:type="dxa"/>
            <w:vAlign w:val="bottom"/>
          </w:tcPr>
          <w:p w14:paraId="09ED34A7" w14:textId="77777777" w:rsidR="00E23747" w:rsidRDefault="00E23747" w:rsidP="00EE3CD0">
            <w:pPr>
              <w:jc w:val="center"/>
            </w:pPr>
            <w:r w:rsidRPr="00E16CBA">
              <w:rPr>
                <w:rFonts w:ascii="Calibri" w:eastAsia="Times New Roman" w:hAnsi="Calibri" w:cs="Calibri"/>
                <w:color w:val="000000"/>
                <w:kern w:val="0"/>
                <w:lang w:eastAsia="ca-ES"/>
                <w14:ligatures w14:val="none"/>
              </w:rPr>
              <w:t>159</w:t>
            </w:r>
          </w:p>
        </w:tc>
        <w:tc>
          <w:tcPr>
            <w:tcW w:w="1134" w:type="dxa"/>
            <w:vAlign w:val="bottom"/>
          </w:tcPr>
          <w:p w14:paraId="6C09AFAD" w14:textId="77777777" w:rsidR="00E23747" w:rsidRDefault="00E23747" w:rsidP="00EE3CD0">
            <w:pPr>
              <w:jc w:val="center"/>
            </w:pPr>
            <w:r w:rsidRPr="00E16CBA">
              <w:rPr>
                <w:rFonts w:ascii="Calibri" w:eastAsia="Times New Roman" w:hAnsi="Calibri" w:cs="Calibri"/>
                <w:color w:val="000000"/>
                <w:kern w:val="0"/>
                <w:lang w:eastAsia="ca-ES"/>
                <w14:ligatures w14:val="none"/>
              </w:rPr>
              <w:t>221</w:t>
            </w:r>
          </w:p>
        </w:tc>
      </w:tr>
      <w:tr w:rsidR="00E23747" w14:paraId="2F722E01" w14:textId="77777777" w:rsidTr="00E23747">
        <w:tc>
          <w:tcPr>
            <w:tcW w:w="2263" w:type="dxa"/>
            <w:shd w:val="clear" w:color="auto" w:fill="F2DBDB" w:themeFill="accent2" w:themeFillTint="33"/>
            <w:vAlign w:val="bottom"/>
          </w:tcPr>
          <w:p w14:paraId="461AD357" w14:textId="77777777" w:rsidR="00E23747" w:rsidRPr="00E16CBA" w:rsidRDefault="00E23747" w:rsidP="00EE3CD0">
            <w:pPr>
              <w:rPr>
                <w:b/>
                <w:bCs/>
              </w:rPr>
            </w:pPr>
            <w:r w:rsidRPr="00E16CBA">
              <w:rPr>
                <w:rFonts w:ascii="Calibri" w:eastAsia="Times New Roman" w:hAnsi="Calibri" w:cs="Calibri"/>
                <w:b/>
                <w:bCs/>
                <w:color w:val="000000"/>
                <w:kern w:val="0"/>
                <w:lang w:eastAsia="ca-ES"/>
                <w14:ligatures w14:val="none"/>
              </w:rPr>
              <w:t>Girona</w:t>
            </w:r>
          </w:p>
        </w:tc>
        <w:tc>
          <w:tcPr>
            <w:tcW w:w="993" w:type="dxa"/>
            <w:vAlign w:val="bottom"/>
          </w:tcPr>
          <w:p w14:paraId="0E2A89C6" w14:textId="77777777" w:rsidR="00E23747" w:rsidRDefault="00E23747" w:rsidP="00EE3CD0">
            <w:pPr>
              <w:jc w:val="center"/>
            </w:pPr>
            <w:r w:rsidRPr="00E16CBA">
              <w:rPr>
                <w:rFonts w:ascii="Calibri" w:eastAsia="Times New Roman" w:hAnsi="Calibri" w:cs="Calibri"/>
                <w:color w:val="000000"/>
                <w:kern w:val="0"/>
                <w:lang w:eastAsia="ca-ES"/>
                <w14:ligatures w14:val="none"/>
              </w:rPr>
              <w:t>198</w:t>
            </w:r>
          </w:p>
        </w:tc>
        <w:tc>
          <w:tcPr>
            <w:tcW w:w="992" w:type="dxa"/>
            <w:vAlign w:val="bottom"/>
          </w:tcPr>
          <w:p w14:paraId="10F42A41" w14:textId="77777777" w:rsidR="00E23747" w:rsidRDefault="00E23747" w:rsidP="00EE3CD0">
            <w:pPr>
              <w:jc w:val="center"/>
            </w:pPr>
            <w:r w:rsidRPr="00E16CBA">
              <w:rPr>
                <w:rFonts w:ascii="Calibri" w:eastAsia="Times New Roman" w:hAnsi="Calibri" w:cs="Calibri"/>
                <w:color w:val="000000"/>
                <w:kern w:val="0"/>
                <w:lang w:eastAsia="ca-ES"/>
                <w14:ligatures w14:val="none"/>
              </w:rPr>
              <w:t>287</w:t>
            </w:r>
          </w:p>
        </w:tc>
        <w:tc>
          <w:tcPr>
            <w:tcW w:w="1134" w:type="dxa"/>
            <w:vAlign w:val="bottom"/>
          </w:tcPr>
          <w:p w14:paraId="0205B15F" w14:textId="77777777" w:rsidR="00E23747" w:rsidRDefault="00E23747" w:rsidP="00EE3CD0">
            <w:pPr>
              <w:jc w:val="center"/>
            </w:pPr>
            <w:r w:rsidRPr="00E16CBA">
              <w:rPr>
                <w:rFonts w:ascii="Calibri" w:eastAsia="Times New Roman" w:hAnsi="Calibri" w:cs="Calibri"/>
                <w:color w:val="000000"/>
                <w:kern w:val="0"/>
                <w:lang w:eastAsia="ca-ES"/>
                <w14:ligatures w14:val="none"/>
              </w:rPr>
              <w:t>386</w:t>
            </w:r>
          </w:p>
        </w:tc>
      </w:tr>
      <w:tr w:rsidR="00E23747" w14:paraId="447E2030" w14:textId="77777777" w:rsidTr="00E23747">
        <w:tc>
          <w:tcPr>
            <w:tcW w:w="2263" w:type="dxa"/>
            <w:shd w:val="clear" w:color="auto" w:fill="F2DBDB" w:themeFill="accent2" w:themeFillTint="33"/>
            <w:vAlign w:val="bottom"/>
          </w:tcPr>
          <w:p w14:paraId="4A5BA173" w14:textId="77777777" w:rsidR="00E23747" w:rsidRPr="00E16CBA" w:rsidRDefault="00E23747" w:rsidP="00EE3CD0">
            <w:pPr>
              <w:rPr>
                <w:b/>
                <w:bCs/>
              </w:rPr>
            </w:pPr>
            <w:r w:rsidRPr="00E16CBA">
              <w:rPr>
                <w:rFonts w:ascii="Calibri" w:eastAsia="Times New Roman" w:hAnsi="Calibri" w:cs="Calibri"/>
                <w:b/>
                <w:bCs/>
                <w:color w:val="000000"/>
                <w:kern w:val="0"/>
                <w:lang w:eastAsia="ca-ES"/>
                <w14:ligatures w14:val="none"/>
              </w:rPr>
              <w:t>Lleida</w:t>
            </w:r>
          </w:p>
        </w:tc>
        <w:tc>
          <w:tcPr>
            <w:tcW w:w="993" w:type="dxa"/>
            <w:vAlign w:val="bottom"/>
          </w:tcPr>
          <w:p w14:paraId="384D9564" w14:textId="77777777" w:rsidR="00E23747" w:rsidRDefault="00E23747" w:rsidP="00EE3CD0">
            <w:pPr>
              <w:jc w:val="center"/>
            </w:pPr>
            <w:r w:rsidRPr="00E16CBA">
              <w:rPr>
                <w:rFonts w:ascii="Calibri" w:eastAsia="Times New Roman" w:hAnsi="Calibri" w:cs="Calibri"/>
                <w:color w:val="000000"/>
                <w:kern w:val="0"/>
                <w:lang w:eastAsia="ca-ES"/>
                <w14:ligatures w14:val="none"/>
              </w:rPr>
              <w:t>251</w:t>
            </w:r>
          </w:p>
        </w:tc>
        <w:tc>
          <w:tcPr>
            <w:tcW w:w="992" w:type="dxa"/>
            <w:vAlign w:val="bottom"/>
          </w:tcPr>
          <w:p w14:paraId="1368E44A" w14:textId="77777777" w:rsidR="00E23747" w:rsidRDefault="00E23747" w:rsidP="00EE3CD0">
            <w:pPr>
              <w:jc w:val="center"/>
            </w:pPr>
            <w:r w:rsidRPr="00E16CBA">
              <w:rPr>
                <w:rFonts w:ascii="Calibri" w:eastAsia="Times New Roman" w:hAnsi="Calibri" w:cs="Calibri"/>
                <w:color w:val="000000"/>
                <w:kern w:val="0"/>
                <w:lang w:eastAsia="ca-ES"/>
                <w14:ligatures w14:val="none"/>
              </w:rPr>
              <w:t>344</w:t>
            </w:r>
          </w:p>
        </w:tc>
        <w:tc>
          <w:tcPr>
            <w:tcW w:w="1134" w:type="dxa"/>
            <w:vAlign w:val="bottom"/>
          </w:tcPr>
          <w:p w14:paraId="3A0A9EE2" w14:textId="77777777" w:rsidR="00E23747" w:rsidRDefault="00E23747" w:rsidP="00EE3CD0">
            <w:pPr>
              <w:jc w:val="center"/>
            </w:pPr>
            <w:r w:rsidRPr="00E16CBA">
              <w:rPr>
                <w:rFonts w:ascii="Calibri" w:eastAsia="Times New Roman" w:hAnsi="Calibri" w:cs="Calibri"/>
                <w:color w:val="000000"/>
                <w:kern w:val="0"/>
                <w:lang w:eastAsia="ca-ES"/>
                <w14:ligatures w14:val="none"/>
              </w:rPr>
              <w:t>537</w:t>
            </w:r>
          </w:p>
        </w:tc>
      </w:tr>
      <w:tr w:rsidR="00E23747" w14:paraId="6AE4804F" w14:textId="77777777" w:rsidTr="00E23747">
        <w:tc>
          <w:tcPr>
            <w:tcW w:w="2263" w:type="dxa"/>
            <w:shd w:val="clear" w:color="auto" w:fill="F2DBDB" w:themeFill="accent2" w:themeFillTint="33"/>
            <w:vAlign w:val="bottom"/>
          </w:tcPr>
          <w:p w14:paraId="35A5B458" w14:textId="77777777" w:rsidR="00E23747" w:rsidRPr="00E16CBA" w:rsidRDefault="00E23747" w:rsidP="00EE3CD0">
            <w:pPr>
              <w:rPr>
                <w:b/>
                <w:bCs/>
              </w:rPr>
            </w:pPr>
            <w:r w:rsidRPr="00E16CBA">
              <w:rPr>
                <w:rFonts w:ascii="Calibri" w:eastAsia="Times New Roman" w:hAnsi="Calibri" w:cs="Calibri"/>
                <w:b/>
                <w:bCs/>
                <w:color w:val="000000"/>
                <w:kern w:val="0"/>
                <w:lang w:eastAsia="ca-ES"/>
                <w14:ligatures w14:val="none"/>
              </w:rPr>
              <w:t>Metropolitana Nord</w:t>
            </w:r>
          </w:p>
        </w:tc>
        <w:tc>
          <w:tcPr>
            <w:tcW w:w="993" w:type="dxa"/>
            <w:vAlign w:val="bottom"/>
          </w:tcPr>
          <w:p w14:paraId="310464D1" w14:textId="77777777" w:rsidR="00E23747" w:rsidRDefault="00E23747" w:rsidP="00EE3CD0">
            <w:pPr>
              <w:jc w:val="center"/>
            </w:pPr>
            <w:r>
              <w:rPr>
                <w:rFonts w:ascii="Calibri" w:eastAsia="Times New Roman" w:hAnsi="Calibri" w:cs="Calibri"/>
                <w:color w:val="000000"/>
                <w:kern w:val="0"/>
                <w:lang w:eastAsia="ca-ES"/>
                <w14:ligatures w14:val="none"/>
              </w:rPr>
              <w:t>285</w:t>
            </w:r>
          </w:p>
        </w:tc>
        <w:tc>
          <w:tcPr>
            <w:tcW w:w="992" w:type="dxa"/>
            <w:vAlign w:val="bottom"/>
          </w:tcPr>
          <w:p w14:paraId="109C7F65" w14:textId="77777777" w:rsidR="00E23747" w:rsidRDefault="00E23747" w:rsidP="00EE3CD0">
            <w:pPr>
              <w:jc w:val="center"/>
            </w:pPr>
            <w:r>
              <w:rPr>
                <w:rFonts w:ascii="Calibri" w:eastAsia="Times New Roman" w:hAnsi="Calibri" w:cs="Calibri"/>
                <w:color w:val="000000"/>
                <w:kern w:val="0"/>
                <w:lang w:eastAsia="ca-ES"/>
                <w14:ligatures w14:val="none"/>
              </w:rPr>
              <w:t>506</w:t>
            </w:r>
          </w:p>
        </w:tc>
        <w:tc>
          <w:tcPr>
            <w:tcW w:w="1134" w:type="dxa"/>
            <w:vAlign w:val="bottom"/>
          </w:tcPr>
          <w:p w14:paraId="5ECFF485" w14:textId="77777777" w:rsidR="00E23747" w:rsidRDefault="00E23747" w:rsidP="00EE3CD0">
            <w:pPr>
              <w:jc w:val="center"/>
            </w:pPr>
            <w:r>
              <w:rPr>
                <w:rFonts w:ascii="Calibri" w:eastAsia="Times New Roman" w:hAnsi="Calibri" w:cs="Calibri"/>
                <w:color w:val="000000"/>
                <w:kern w:val="0"/>
                <w:lang w:eastAsia="ca-ES"/>
                <w14:ligatures w14:val="none"/>
              </w:rPr>
              <w:t>639</w:t>
            </w:r>
          </w:p>
        </w:tc>
      </w:tr>
      <w:tr w:rsidR="00E23747" w14:paraId="54321412" w14:textId="77777777" w:rsidTr="00E23747">
        <w:tc>
          <w:tcPr>
            <w:tcW w:w="2263" w:type="dxa"/>
            <w:shd w:val="clear" w:color="auto" w:fill="F2DBDB" w:themeFill="accent2" w:themeFillTint="33"/>
            <w:vAlign w:val="bottom"/>
          </w:tcPr>
          <w:p w14:paraId="5B1B496A" w14:textId="77777777" w:rsidR="00E23747" w:rsidRPr="00E16CBA" w:rsidRDefault="00E23747" w:rsidP="00EE3CD0">
            <w:pPr>
              <w:rPr>
                <w:b/>
                <w:bCs/>
              </w:rPr>
            </w:pPr>
            <w:r w:rsidRPr="00E16CBA">
              <w:rPr>
                <w:rFonts w:ascii="Calibri" w:eastAsia="Times New Roman" w:hAnsi="Calibri" w:cs="Calibri"/>
                <w:b/>
                <w:bCs/>
                <w:color w:val="000000"/>
                <w:kern w:val="0"/>
                <w:lang w:eastAsia="ca-ES"/>
                <w14:ligatures w14:val="none"/>
              </w:rPr>
              <w:t>Metropolitana Sud</w:t>
            </w:r>
          </w:p>
        </w:tc>
        <w:tc>
          <w:tcPr>
            <w:tcW w:w="993" w:type="dxa"/>
            <w:vAlign w:val="bottom"/>
          </w:tcPr>
          <w:p w14:paraId="40DC44F2" w14:textId="77777777" w:rsidR="00E23747" w:rsidRDefault="00E23747" w:rsidP="00EE3CD0">
            <w:pPr>
              <w:jc w:val="center"/>
            </w:pPr>
            <w:r>
              <w:rPr>
                <w:rFonts w:ascii="Calibri" w:eastAsia="Times New Roman" w:hAnsi="Calibri" w:cs="Calibri"/>
                <w:color w:val="000000"/>
                <w:kern w:val="0"/>
                <w:lang w:eastAsia="ca-ES"/>
                <w14:ligatures w14:val="none"/>
              </w:rPr>
              <w:t>226</w:t>
            </w:r>
          </w:p>
        </w:tc>
        <w:tc>
          <w:tcPr>
            <w:tcW w:w="992" w:type="dxa"/>
            <w:vAlign w:val="bottom"/>
          </w:tcPr>
          <w:p w14:paraId="5D4DBECB" w14:textId="77777777" w:rsidR="00E23747" w:rsidRDefault="00E23747" w:rsidP="00EE3CD0">
            <w:pPr>
              <w:jc w:val="center"/>
            </w:pPr>
            <w:r>
              <w:rPr>
                <w:rFonts w:ascii="Calibri" w:eastAsia="Times New Roman" w:hAnsi="Calibri" w:cs="Calibri"/>
                <w:color w:val="000000"/>
                <w:kern w:val="0"/>
                <w:lang w:eastAsia="ca-ES"/>
                <w14:ligatures w14:val="none"/>
              </w:rPr>
              <w:t>429</w:t>
            </w:r>
          </w:p>
        </w:tc>
        <w:tc>
          <w:tcPr>
            <w:tcW w:w="1134" w:type="dxa"/>
            <w:vAlign w:val="bottom"/>
          </w:tcPr>
          <w:p w14:paraId="0A9D6B82" w14:textId="77777777" w:rsidR="00E23747" w:rsidRDefault="00E23747" w:rsidP="00EE3CD0">
            <w:pPr>
              <w:jc w:val="center"/>
            </w:pPr>
            <w:r w:rsidRPr="00E16CBA">
              <w:rPr>
                <w:rFonts w:ascii="Calibri" w:eastAsia="Times New Roman" w:hAnsi="Calibri" w:cs="Calibri"/>
                <w:color w:val="000000"/>
                <w:kern w:val="0"/>
                <w:lang w:eastAsia="ca-ES"/>
                <w14:ligatures w14:val="none"/>
              </w:rPr>
              <w:t>4</w:t>
            </w:r>
            <w:r>
              <w:rPr>
                <w:rFonts w:ascii="Calibri" w:eastAsia="Times New Roman" w:hAnsi="Calibri" w:cs="Calibri"/>
                <w:color w:val="000000"/>
                <w:kern w:val="0"/>
                <w:lang w:eastAsia="ca-ES"/>
                <w14:ligatures w14:val="none"/>
              </w:rPr>
              <w:t>63</w:t>
            </w:r>
          </w:p>
        </w:tc>
      </w:tr>
      <w:tr w:rsidR="00E23747" w14:paraId="200F0BB2" w14:textId="77777777" w:rsidTr="00E23747">
        <w:tc>
          <w:tcPr>
            <w:tcW w:w="2263" w:type="dxa"/>
            <w:shd w:val="clear" w:color="auto" w:fill="F2DBDB" w:themeFill="accent2" w:themeFillTint="33"/>
            <w:vAlign w:val="bottom"/>
          </w:tcPr>
          <w:p w14:paraId="2038D912" w14:textId="77777777" w:rsidR="00E23747" w:rsidRPr="00E16CBA" w:rsidRDefault="00E23747" w:rsidP="00EE3CD0">
            <w:pPr>
              <w:rPr>
                <w:b/>
                <w:bCs/>
              </w:rPr>
            </w:pPr>
            <w:r w:rsidRPr="00E16CBA">
              <w:rPr>
                <w:rFonts w:ascii="Calibri" w:eastAsia="Times New Roman" w:hAnsi="Calibri" w:cs="Calibri"/>
                <w:b/>
                <w:bCs/>
                <w:color w:val="000000"/>
                <w:kern w:val="0"/>
                <w:lang w:eastAsia="ca-ES"/>
                <w14:ligatures w14:val="none"/>
              </w:rPr>
              <w:t>Tarragona</w:t>
            </w:r>
          </w:p>
        </w:tc>
        <w:tc>
          <w:tcPr>
            <w:tcW w:w="993" w:type="dxa"/>
            <w:vAlign w:val="bottom"/>
          </w:tcPr>
          <w:p w14:paraId="3FEC5BE9" w14:textId="77777777" w:rsidR="00E23747" w:rsidRDefault="00E23747" w:rsidP="00EE3CD0">
            <w:pPr>
              <w:jc w:val="center"/>
            </w:pPr>
            <w:r w:rsidRPr="00E16CBA">
              <w:rPr>
                <w:rFonts w:ascii="Calibri" w:eastAsia="Times New Roman" w:hAnsi="Calibri" w:cs="Calibri"/>
                <w:color w:val="000000"/>
                <w:kern w:val="0"/>
                <w:lang w:eastAsia="ca-ES"/>
                <w14:ligatures w14:val="none"/>
              </w:rPr>
              <w:t>288</w:t>
            </w:r>
          </w:p>
        </w:tc>
        <w:tc>
          <w:tcPr>
            <w:tcW w:w="992" w:type="dxa"/>
            <w:vAlign w:val="bottom"/>
          </w:tcPr>
          <w:p w14:paraId="698EC159" w14:textId="77777777" w:rsidR="00E23747" w:rsidRDefault="00E23747" w:rsidP="00EE3CD0">
            <w:pPr>
              <w:jc w:val="center"/>
            </w:pPr>
            <w:r w:rsidRPr="00E16CBA">
              <w:rPr>
                <w:rFonts w:ascii="Calibri" w:eastAsia="Times New Roman" w:hAnsi="Calibri" w:cs="Calibri"/>
                <w:color w:val="000000"/>
                <w:kern w:val="0"/>
                <w:lang w:eastAsia="ca-ES"/>
                <w14:ligatures w14:val="none"/>
              </w:rPr>
              <w:t>401</w:t>
            </w:r>
          </w:p>
        </w:tc>
        <w:tc>
          <w:tcPr>
            <w:tcW w:w="1134" w:type="dxa"/>
            <w:vAlign w:val="bottom"/>
          </w:tcPr>
          <w:p w14:paraId="249C6D04" w14:textId="77777777" w:rsidR="00E23747" w:rsidRDefault="00E23747" w:rsidP="00EE3CD0">
            <w:pPr>
              <w:jc w:val="center"/>
            </w:pPr>
            <w:r w:rsidRPr="00E16CBA">
              <w:rPr>
                <w:rFonts w:ascii="Calibri" w:eastAsia="Times New Roman" w:hAnsi="Calibri" w:cs="Calibri"/>
                <w:color w:val="000000"/>
                <w:kern w:val="0"/>
                <w:lang w:eastAsia="ca-ES"/>
                <w14:ligatures w14:val="none"/>
              </w:rPr>
              <w:t>433</w:t>
            </w:r>
          </w:p>
        </w:tc>
      </w:tr>
      <w:tr w:rsidR="00E23747" w14:paraId="295FBD14" w14:textId="77777777" w:rsidTr="00E23747">
        <w:tc>
          <w:tcPr>
            <w:tcW w:w="2263" w:type="dxa"/>
            <w:shd w:val="clear" w:color="auto" w:fill="F2DBDB" w:themeFill="accent2" w:themeFillTint="33"/>
            <w:vAlign w:val="bottom"/>
          </w:tcPr>
          <w:p w14:paraId="7C406BF3" w14:textId="77777777" w:rsidR="00E23747" w:rsidRPr="00E16CBA" w:rsidRDefault="00E23747" w:rsidP="00EE3CD0">
            <w:pPr>
              <w:rPr>
                <w:b/>
                <w:bCs/>
              </w:rPr>
            </w:pPr>
            <w:r w:rsidRPr="00E16CBA">
              <w:rPr>
                <w:rFonts w:ascii="Calibri" w:eastAsia="Times New Roman" w:hAnsi="Calibri" w:cs="Calibri"/>
                <w:b/>
                <w:bCs/>
                <w:color w:val="000000"/>
                <w:kern w:val="0"/>
                <w:lang w:eastAsia="ca-ES"/>
                <w14:ligatures w14:val="none"/>
              </w:rPr>
              <w:t>Terres de l'Ebre</w:t>
            </w:r>
          </w:p>
        </w:tc>
        <w:tc>
          <w:tcPr>
            <w:tcW w:w="993" w:type="dxa"/>
            <w:vAlign w:val="bottom"/>
          </w:tcPr>
          <w:p w14:paraId="4E7A43A2" w14:textId="77777777" w:rsidR="00E23747" w:rsidRDefault="00E23747" w:rsidP="00EE3CD0">
            <w:pPr>
              <w:jc w:val="center"/>
            </w:pPr>
            <w:r>
              <w:rPr>
                <w:rFonts w:ascii="Calibri" w:eastAsia="Times New Roman" w:hAnsi="Calibri" w:cs="Calibri"/>
                <w:color w:val="000000"/>
                <w:kern w:val="0"/>
                <w:lang w:eastAsia="ca-ES"/>
                <w14:ligatures w14:val="none"/>
              </w:rPr>
              <w:t>96</w:t>
            </w:r>
          </w:p>
        </w:tc>
        <w:tc>
          <w:tcPr>
            <w:tcW w:w="992" w:type="dxa"/>
            <w:vAlign w:val="bottom"/>
          </w:tcPr>
          <w:p w14:paraId="43818F85" w14:textId="77777777" w:rsidR="00E23747" w:rsidRDefault="00E23747" w:rsidP="00EE3CD0">
            <w:pPr>
              <w:jc w:val="center"/>
            </w:pPr>
            <w:r>
              <w:rPr>
                <w:rFonts w:ascii="Calibri" w:eastAsia="Times New Roman" w:hAnsi="Calibri" w:cs="Calibri"/>
                <w:color w:val="000000"/>
                <w:kern w:val="0"/>
                <w:lang w:eastAsia="ca-ES"/>
                <w14:ligatures w14:val="none"/>
              </w:rPr>
              <w:t>128</w:t>
            </w:r>
          </w:p>
        </w:tc>
        <w:tc>
          <w:tcPr>
            <w:tcW w:w="1134" w:type="dxa"/>
            <w:vAlign w:val="bottom"/>
          </w:tcPr>
          <w:p w14:paraId="5C6BA9D8" w14:textId="77777777" w:rsidR="00E23747" w:rsidRDefault="00E23747" w:rsidP="00EE3CD0">
            <w:pPr>
              <w:jc w:val="center"/>
            </w:pPr>
            <w:r w:rsidRPr="00E16CBA">
              <w:rPr>
                <w:rFonts w:ascii="Calibri" w:eastAsia="Times New Roman" w:hAnsi="Calibri" w:cs="Calibri"/>
                <w:color w:val="000000"/>
                <w:kern w:val="0"/>
                <w:lang w:eastAsia="ca-ES"/>
                <w14:ligatures w14:val="none"/>
              </w:rPr>
              <w:t>1</w:t>
            </w:r>
            <w:r>
              <w:rPr>
                <w:rFonts w:ascii="Calibri" w:eastAsia="Times New Roman" w:hAnsi="Calibri" w:cs="Calibri"/>
                <w:color w:val="000000"/>
                <w:kern w:val="0"/>
                <w:lang w:eastAsia="ca-ES"/>
                <w14:ligatures w14:val="none"/>
              </w:rPr>
              <w:t>43</w:t>
            </w:r>
          </w:p>
        </w:tc>
      </w:tr>
    </w:tbl>
    <w:p w14:paraId="1775A5EE" w14:textId="5AC6F621" w:rsidR="00E23747" w:rsidRDefault="00E23747"/>
    <w:p w14:paraId="34D74614" w14:textId="2A34E5A6" w:rsidR="00A80245" w:rsidRDefault="00E478A6">
      <w:r>
        <w:t xml:space="preserve">Cerdanyola del Vallès, </w:t>
      </w:r>
      <w:r w:rsidR="00E23747">
        <w:t>15 d’octubre</w:t>
      </w:r>
      <w:r>
        <w:t xml:space="preserve"> </w:t>
      </w:r>
      <w:r w:rsidR="00EE26FE">
        <w:t xml:space="preserve">de </w:t>
      </w:r>
      <w:r w:rsidR="00FE0D1A">
        <w:t>2026</w:t>
      </w:r>
    </w:p>
    <w:p w14:paraId="41A82CBB" w14:textId="2880EA15" w:rsidR="00A80245" w:rsidRDefault="00E23747" w:rsidP="009D4210">
      <w:r>
        <w:t>09.00</w:t>
      </w:r>
      <w:r w:rsidR="00E478A6">
        <w:t xml:space="preserve"> hores</w:t>
      </w:r>
    </w:p>
    <w:p w14:paraId="6BC8D600" w14:textId="77777777" w:rsidR="00BD37BD" w:rsidRDefault="00BD37BD" w:rsidP="009D4210"/>
    <w:p w14:paraId="12C6B690" w14:textId="77777777" w:rsidR="00A80245" w:rsidRDefault="00A80245">
      <w:pPr>
        <w:pStyle w:val="Textindependent3"/>
        <w:pBdr>
          <w:top w:val="single" w:sz="4" w:space="1" w:color="000000"/>
          <w:left w:val="single" w:sz="4" w:space="3" w:color="000000"/>
          <w:bottom w:val="single" w:sz="4" w:space="1" w:color="000000"/>
          <w:right w:val="single" w:sz="4" w:space="18" w:color="000000"/>
        </w:pBdr>
        <w:ind w:left="142" w:right="395"/>
      </w:pPr>
    </w:p>
    <w:p w14:paraId="6C566FD4" w14:textId="77777777" w:rsidR="00A80245" w:rsidRDefault="00E478A6">
      <w:pPr>
        <w:pStyle w:val="Textindependent3"/>
        <w:pBdr>
          <w:top w:val="single" w:sz="4" w:space="1" w:color="000000"/>
          <w:left w:val="single" w:sz="4" w:space="3" w:color="000000"/>
          <w:bottom w:val="single" w:sz="4" w:space="1" w:color="000000"/>
          <w:right w:val="single" w:sz="4" w:space="18" w:color="000000"/>
        </w:pBdr>
        <w:ind w:left="142" w:right="395"/>
        <w:rPr>
          <w:b/>
          <w:color w:val="000000"/>
          <w:sz w:val="18"/>
          <w:szCs w:val="18"/>
        </w:rPr>
      </w:pPr>
      <w:r>
        <w:rPr>
          <w:sz w:val="18"/>
          <w:szCs w:val="18"/>
        </w:rPr>
        <w:t>Per a qualsevol aclariment podeu posar-vos en contacte amb l’</w:t>
      </w:r>
      <w:r>
        <w:rPr>
          <w:b/>
          <w:sz w:val="18"/>
          <w:szCs w:val="18"/>
        </w:rPr>
        <w:t xml:space="preserve">Àrea </w:t>
      </w:r>
      <w:r w:rsidR="00FE0D1A">
        <w:rPr>
          <w:b/>
          <w:sz w:val="18"/>
          <w:szCs w:val="18"/>
        </w:rPr>
        <w:t>de</w:t>
      </w:r>
      <w:r>
        <w:rPr>
          <w:b/>
          <w:sz w:val="18"/>
          <w:szCs w:val="18"/>
        </w:rPr>
        <w:t xml:space="preserve"> Comunicació </w:t>
      </w:r>
      <w:r w:rsidR="00FE0D1A">
        <w:rPr>
          <w:b/>
          <w:sz w:val="18"/>
          <w:szCs w:val="18"/>
        </w:rPr>
        <w:t>i Premsa</w:t>
      </w:r>
    </w:p>
    <w:p w14:paraId="4B0CF6BA" w14:textId="77777777" w:rsidR="00A80245" w:rsidRDefault="00E478A6">
      <w:pPr>
        <w:pStyle w:val="Textindependent3"/>
        <w:pBdr>
          <w:top w:val="single" w:sz="4" w:space="1" w:color="000000"/>
          <w:left w:val="single" w:sz="4" w:space="3" w:color="000000"/>
          <w:bottom w:val="single" w:sz="4" w:space="1" w:color="000000"/>
          <w:right w:val="single" w:sz="4" w:space="18" w:color="000000"/>
        </w:pBdr>
        <w:ind w:left="142" w:right="395"/>
        <w:rPr>
          <w:b/>
          <w:color w:val="000000"/>
        </w:rPr>
      </w:pPr>
      <w:r>
        <w:rPr>
          <w:b/>
          <w:color w:val="000000"/>
        </w:rPr>
        <w:t>93 586 77 20    premsa.bombers@gencat.cat</w:t>
      </w:r>
    </w:p>
    <w:p w14:paraId="4B6207D3" w14:textId="77777777" w:rsidR="00A80245" w:rsidRDefault="00E478A6" w:rsidP="009D4210">
      <w:pPr>
        <w:pStyle w:val="Textindependent3"/>
        <w:pBdr>
          <w:top w:val="single" w:sz="4" w:space="1" w:color="000000"/>
          <w:left w:val="single" w:sz="4" w:space="3" w:color="000000"/>
          <w:bottom w:val="single" w:sz="4" w:space="1" w:color="000000"/>
          <w:right w:val="single" w:sz="4" w:space="18" w:color="000000"/>
        </w:pBdr>
        <w:ind w:left="142" w:right="395"/>
        <w:rPr>
          <w:rStyle w:val="EnlacedeInternet"/>
        </w:rPr>
      </w:pPr>
      <w:hyperlink r:id="rId11">
        <w:r>
          <w:rPr>
            <w:rStyle w:val="EnlacedeInternet"/>
          </w:rPr>
          <w:t>http://interior.gencat.cat/bombers</w:t>
        </w:r>
      </w:hyperlink>
    </w:p>
    <w:p w14:paraId="0AD303B8" w14:textId="77777777" w:rsidR="009902C4" w:rsidRDefault="009902C4" w:rsidP="009D4210">
      <w:pPr>
        <w:pStyle w:val="Textindependent3"/>
        <w:pBdr>
          <w:top w:val="single" w:sz="4" w:space="1" w:color="000000"/>
          <w:left w:val="single" w:sz="4" w:space="3" w:color="000000"/>
          <w:bottom w:val="single" w:sz="4" w:space="1" w:color="000000"/>
          <w:right w:val="single" w:sz="4" w:space="18" w:color="000000"/>
        </w:pBdr>
        <w:ind w:left="142" w:right="395"/>
      </w:pPr>
    </w:p>
    <w:sectPr w:rsidR="009902C4">
      <w:headerReference w:type="default" r:id="rId12"/>
      <w:footerReference w:type="default" r:id="rId13"/>
      <w:pgSz w:w="11906" w:h="16838"/>
      <w:pgMar w:top="993" w:right="1466" w:bottom="1134" w:left="1701" w:header="539" w:footer="567"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32F43" w14:textId="77777777" w:rsidR="00FF4632" w:rsidRDefault="00FF4632">
      <w:r>
        <w:separator/>
      </w:r>
    </w:p>
  </w:endnote>
  <w:endnote w:type="continuationSeparator" w:id="0">
    <w:p w14:paraId="68DB41BB" w14:textId="77777777" w:rsidR="00FF4632" w:rsidRDefault="00FF4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424D4" w14:textId="77777777" w:rsidR="00A80245" w:rsidRDefault="00A80245">
    <w:pPr>
      <w:spacing w:line="140" w:lineRule="atLeast"/>
    </w:pPr>
  </w:p>
  <w:p w14:paraId="3A758CCB" w14:textId="77777777" w:rsidR="00A80245" w:rsidRDefault="00A802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609E8" w14:textId="77777777" w:rsidR="00FF4632" w:rsidRDefault="00FF4632">
      <w:r>
        <w:separator/>
      </w:r>
    </w:p>
  </w:footnote>
  <w:footnote w:type="continuationSeparator" w:id="0">
    <w:p w14:paraId="01CDE37B" w14:textId="77777777" w:rsidR="00FF4632" w:rsidRDefault="00FF4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9877" w14:textId="77777777" w:rsidR="00A80245" w:rsidRDefault="00000000" w:rsidP="00176B63">
    <w:pPr>
      <w:pStyle w:val="Capalera"/>
      <w:tabs>
        <w:tab w:val="clear" w:pos="4252"/>
        <w:tab w:val="clear" w:pos="8504"/>
      </w:tabs>
      <w:spacing w:line="240" w:lineRule="exact"/>
      <w:ind w:firstLine="708"/>
    </w:pPr>
    <w:r>
      <w:rPr>
        <w:noProof/>
      </w:rPr>
      <w:object w:dxaOrig="1440" w:dyaOrig="1440" w14:anchorId="1146A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3.15pt;width:23.3pt;height:25.8pt;z-index:251659264;mso-position-horizontal-relative:text;mso-position-vertical-relative:text;mso-width-relative:page;mso-height-relative:page" o:preferrelative="f" filled="t">
          <v:imagedata r:id="rId1" o:title=""/>
          <o:lock v:ext="edit" aspectratio="f"/>
        </v:shape>
        <o:OLEObject Type="Embed" ProgID="PBrush" ShapeID="_x0000_s1026" DrawAspect="Content" ObjectID="_1853482956" r:id="rId2"/>
      </w:object>
    </w:r>
    <w:r w:rsidR="00E478A6">
      <w:t xml:space="preserve">Generalitat de Catalunya                                                                                        </w:t>
    </w:r>
  </w:p>
  <w:p w14:paraId="4937BE3C" w14:textId="77777777" w:rsidR="00A80245" w:rsidRDefault="00176B63">
    <w:pPr>
      <w:spacing w:line="240" w:lineRule="exact"/>
    </w:pPr>
    <w:r>
      <w:tab/>
    </w:r>
    <w:r w:rsidR="00E478A6">
      <w:t>Departament d’Interior</w:t>
    </w:r>
  </w:p>
  <w:p w14:paraId="7A89D5B1" w14:textId="77777777" w:rsidR="00A80245" w:rsidRDefault="00E478A6">
    <w:pPr>
      <w:spacing w:line="240" w:lineRule="exact"/>
    </w:pPr>
    <w:r>
      <w:rPr>
        <w:b/>
      </w:rPr>
      <w:t>Direcció General de Prevenció,</w:t>
    </w:r>
  </w:p>
  <w:p w14:paraId="14D7D599" w14:textId="77777777" w:rsidR="00A80245" w:rsidRDefault="00E478A6">
    <w:pPr>
      <w:spacing w:line="240" w:lineRule="exact"/>
      <w:rPr>
        <w:b/>
      </w:rPr>
    </w:pPr>
    <w:r>
      <w:rPr>
        <w:b/>
      </w:rPr>
      <w:t>Extinció d’Incendis i Salvaments</w:t>
    </w:r>
  </w:p>
  <w:p w14:paraId="372A1072" w14:textId="77777777" w:rsidR="00A80245" w:rsidRDefault="00E478A6">
    <w:pPr>
      <w:pStyle w:val="Capalera"/>
      <w:rPr>
        <w:sz w:val="16"/>
      </w:rPr>
    </w:pPr>
    <w:r>
      <w:rPr>
        <w:sz w:val="16"/>
      </w:rPr>
      <w:t xml:space="preserve">Àrea </w:t>
    </w:r>
    <w:r w:rsidR="00FE0D1A">
      <w:rPr>
        <w:sz w:val="16"/>
      </w:rPr>
      <w:t>de</w:t>
    </w:r>
    <w:r>
      <w:rPr>
        <w:sz w:val="16"/>
      </w:rPr>
      <w:t xml:space="preserve"> Comunicació</w:t>
    </w:r>
    <w:r w:rsidR="00FE0D1A">
      <w:rPr>
        <w:sz w:val="16"/>
      </w:rPr>
      <w:t xml:space="preserve"> i Premsa</w:t>
    </w:r>
  </w:p>
  <w:p w14:paraId="63C5B24A" w14:textId="77777777" w:rsidR="00A80245" w:rsidRDefault="00A80245">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148D"/>
    <w:multiLevelType w:val="multilevel"/>
    <w:tmpl w:val="54909E6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B383016"/>
    <w:multiLevelType w:val="multilevel"/>
    <w:tmpl w:val="133E97C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991181860">
    <w:abstractNumId w:val="1"/>
  </w:num>
  <w:num w:numId="2" w16cid:durableId="69274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245"/>
    <w:rsid w:val="000059A8"/>
    <w:rsid w:val="00010371"/>
    <w:rsid w:val="0001496E"/>
    <w:rsid w:val="00025C21"/>
    <w:rsid w:val="000455A0"/>
    <w:rsid w:val="000C5651"/>
    <w:rsid w:val="000C650E"/>
    <w:rsid w:val="000D1C67"/>
    <w:rsid w:val="000F7571"/>
    <w:rsid w:val="00111F28"/>
    <w:rsid w:val="00127906"/>
    <w:rsid w:val="00127F20"/>
    <w:rsid w:val="0013524C"/>
    <w:rsid w:val="00160CA0"/>
    <w:rsid w:val="0017554B"/>
    <w:rsid w:val="00176B63"/>
    <w:rsid w:val="001818D1"/>
    <w:rsid w:val="0018459A"/>
    <w:rsid w:val="0019074B"/>
    <w:rsid w:val="00193589"/>
    <w:rsid w:val="001A37DB"/>
    <w:rsid w:val="001C1503"/>
    <w:rsid w:val="001E24EA"/>
    <w:rsid w:val="001E537C"/>
    <w:rsid w:val="00206E87"/>
    <w:rsid w:val="0021062F"/>
    <w:rsid w:val="00215BD9"/>
    <w:rsid w:val="00230B41"/>
    <w:rsid w:val="0024598F"/>
    <w:rsid w:val="00253E03"/>
    <w:rsid w:val="00293006"/>
    <w:rsid w:val="002A534D"/>
    <w:rsid w:val="002F10CC"/>
    <w:rsid w:val="0030033F"/>
    <w:rsid w:val="0033687C"/>
    <w:rsid w:val="00340312"/>
    <w:rsid w:val="003555F5"/>
    <w:rsid w:val="00371F10"/>
    <w:rsid w:val="003A6C08"/>
    <w:rsid w:val="00403DB2"/>
    <w:rsid w:val="004154DC"/>
    <w:rsid w:val="004173DF"/>
    <w:rsid w:val="00444BA9"/>
    <w:rsid w:val="00460F65"/>
    <w:rsid w:val="00462B08"/>
    <w:rsid w:val="00467D87"/>
    <w:rsid w:val="00482AC0"/>
    <w:rsid w:val="00487A9C"/>
    <w:rsid w:val="004A0D7D"/>
    <w:rsid w:val="004B5257"/>
    <w:rsid w:val="004E2BFD"/>
    <w:rsid w:val="00512A63"/>
    <w:rsid w:val="0052100F"/>
    <w:rsid w:val="00525FD9"/>
    <w:rsid w:val="00541E46"/>
    <w:rsid w:val="005462EC"/>
    <w:rsid w:val="005844FD"/>
    <w:rsid w:val="00584F51"/>
    <w:rsid w:val="005C4F20"/>
    <w:rsid w:val="005D2ED3"/>
    <w:rsid w:val="005E11D5"/>
    <w:rsid w:val="005F51A7"/>
    <w:rsid w:val="005F66CB"/>
    <w:rsid w:val="00604FDC"/>
    <w:rsid w:val="00614DAE"/>
    <w:rsid w:val="00683A57"/>
    <w:rsid w:val="006C7928"/>
    <w:rsid w:val="006E37CA"/>
    <w:rsid w:val="00704D25"/>
    <w:rsid w:val="00724037"/>
    <w:rsid w:val="007309E3"/>
    <w:rsid w:val="007341B6"/>
    <w:rsid w:val="00763454"/>
    <w:rsid w:val="00773A66"/>
    <w:rsid w:val="007956CA"/>
    <w:rsid w:val="00795EF6"/>
    <w:rsid w:val="007A3DDA"/>
    <w:rsid w:val="007B1219"/>
    <w:rsid w:val="007C0527"/>
    <w:rsid w:val="007D2119"/>
    <w:rsid w:val="007F1004"/>
    <w:rsid w:val="008022C7"/>
    <w:rsid w:val="008474D0"/>
    <w:rsid w:val="00854BCB"/>
    <w:rsid w:val="0089197A"/>
    <w:rsid w:val="008B2375"/>
    <w:rsid w:val="008B5A13"/>
    <w:rsid w:val="008C721A"/>
    <w:rsid w:val="008E0B04"/>
    <w:rsid w:val="009124E0"/>
    <w:rsid w:val="009408D5"/>
    <w:rsid w:val="00945D69"/>
    <w:rsid w:val="009470FA"/>
    <w:rsid w:val="009629BF"/>
    <w:rsid w:val="009738F4"/>
    <w:rsid w:val="00980FB9"/>
    <w:rsid w:val="009813D7"/>
    <w:rsid w:val="009902C4"/>
    <w:rsid w:val="00995A0F"/>
    <w:rsid w:val="009B1DFA"/>
    <w:rsid w:val="009D4210"/>
    <w:rsid w:val="009D65C9"/>
    <w:rsid w:val="00A04456"/>
    <w:rsid w:val="00A13C76"/>
    <w:rsid w:val="00A453CF"/>
    <w:rsid w:val="00A5558D"/>
    <w:rsid w:val="00A62902"/>
    <w:rsid w:val="00A80245"/>
    <w:rsid w:val="00AC44A9"/>
    <w:rsid w:val="00AD30E4"/>
    <w:rsid w:val="00B370D5"/>
    <w:rsid w:val="00B40490"/>
    <w:rsid w:val="00B57DA3"/>
    <w:rsid w:val="00B86109"/>
    <w:rsid w:val="00B87024"/>
    <w:rsid w:val="00BB1A79"/>
    <w:rsid w:val="00BD37BD"/>
    <w:rsid w:val="00C01354"/>
    <w:rsid w:val="00C3414F"/>
    <w:rsid w:val="00C41B35"/>
    <w:rsid w:val="00C440CF"/>
    <w:rsid w:val="00C739C3"/>
    <w:rsid w:val="00C73C9C"/>
    <w:rsid w:val="00CB01AC"/>
    <w:rsid w:val="00CF16C9"/>
    <w:rsid w:val="00D07A20"/>
    <w:rsid w:val="00D11B1B"/>
    <w:rsid w:val="00D568A9"/>
    <w:rsid w:val="00DC1084"/>
    <w:rsid w:val="00DC3A72"/>
    <w:rsid w:val="00DF1167"/>
    <w:rsid w:val="00DF53BE"/>
    <w:rsid w:val="00E23747"/>
    <w:rsid w:val="00E478A6"/>
    <w:rsid w:val="00E905A9"/>
    <w:rsid w:val="00EE26FE"/>
    <w:rsid w:val="00EE5410"/>
    <w:rsid w:val="00F176FF"/>
    <w:rsid w:val="00F42868"/>
    <w:rsid w:val="00F64AE9"/>
    <w:rsid w:val="00F83740"/>
    <w:rsid w:val="00F85D67"/>
    <w:rsid w:val="00F87445"/>
    <w:rsid w:val="00F87FAF"/>
    <w:rsid w:val="00FB22F9"/>
    <w:rsid w:val="00FC3F79"/>
    <w:rsid w:val="00FE0D1A"/>
    <w:rsid w:val="00FE2C05"/>
    <w:rsid w:val="00FF4632"/>
  </w:rsids>
  <m:mathPr>
    <m:mathFont m:val="Cambria Math"/>
    <m:brkBin m:val="before"/>
    <m:brkBinSub m:val="--"/>
    <m:smallFrac m:val="0"/>
    <m:dispDef/>
    <m:lMargin m:val="0"/>
    <m:rMargin m:val="0"/>
    <m:defJc m:val="centerGroup"/>
    <m:wrapIndent m:val="1440"/>
    <m:intLim m:val="subSup"/>
    <m:naryLim m:val="undOvr"/>
  </m:mathPr>
  <w:themeFontLang w:val="ca-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6268C"/>
  <w15:docId w15:val="{785EC53F-B399-460C-A763-08B5872F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s-ES"/>
    </w:rPr>
  </w:style>
  <w:style w:type="paragraph" w:styleId="Ttol1">
    <w:name w:val="heading 1"/>
    <w:basedOn w:val="Normal"/>
    <w:next w:val="Normal"/>
    <w:qFormat/>
    <w:pPr>
      <w:keepNext/>
      <w:spacing w:after="480"/>
      <w:outlineLvl w:val="0"/>
    </w:pPr>
    <w:rPr>
      <w:b/>
      <w:kern w:val="2"/>
      <w:sz w:val="48"/>
    </w:rPr>
  </w:style>
  <w:style w:type="paragraph" w:styleId="Ttol2">
    <w:name w:val="heading 2"/>
    <w:basedOn w:val="Normal"/>
    <w:next w:val="Normal"/>
    <w:qFormat/>
    <w:pPr>
      <w:keepNext/>
      <w:spacing w:before="480" w:after="320"/>
      <w:outlineLvl w:val="1"/>
    </w:pPr>
    <w:rPr>
      <w:b/>
      <w:sz w:val="32"/>
    </w:rPr>
  </w:style>
  <w:style w:type="paragraph" w:styleId="Ttol3">
    <w:name w:val="heading 3"/>
    <w:basedOn w:val="Normal"/>
    <w:next w:val="Normal"/>
    <w:qFormat/>
    <w:pPr>
      <w:keepNext/>
      <w:spacing w:before="240"/>
      <w:outlineLvl w:val="2"/>
    </w:pPr>
    <w:rPr>
      <w:b/>
    </w:rPr>
  </w:style>
  <w:style w:type="paragraph" w:styleId="Ttol4">
    <w:name w:val="heading 4"/>
    <w:basedOn w:val="Normal"/>
    <w:next w:val="Normal"/>
    <w:qFormat/>
    <w:pPr>
      <w:keepNext/>
      <w:jc w:val="both"/>
      <w:outlineLvl w:val="3"/>
    </w:pPr>
    <w:rPr>
      <w:b/>
      <w:color w:val="0000FF"/>
      <w:sz w:val="32"/>
      <w:szCs w:val="3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Hipervincle">
    <w:name w:val="Hipervincle"/>
    <w:qFormat/>
    <w:rPr>
      <w:rFonts w:ascii="Arial" w:hAnsi="Arial"/>
      <w:color w:val="0000FF"/>
      <w:u w:val="single"/>
    </w:rPr>
  </w:style>
  <w:style w:type="character" w:customStyle="1" w:styleId="EnlacedeInternet">
    <w:name w:val="Enlace de Internet"/>
    <w:rPr>
      <w:color w:val="0000FF"/>
      <w:u w:val="single"/>
    </w:rPr>
  </w:style>
  <w:style w:type="character" w:customStyle="1" w:styleId="Destacado">
    <w:name w:val="Destacado"/>
    <w:uiPriority w:val="20"/>
    <w:qFormat/>
    <w:rsid w:val="000D5082"/>
    <w:rPr>
      <w:i/>
      <w:iCs/>
    </w:rPr>
  </w:style>
  <w:style w:type="character" w:styleId="Textennegreta">
    <w:name w:val="Strong"/>
    <w:uiPriority w:val="22"/>
    <w:qFormat/>
    <w:rsid w:val="0074081D"/>
    <w:rPr>
      <w:b/>
      <w:bCs/>
    </w:rPr>
  </w:style>
  <w:style w:type="paragraph" w:customStyle="1" w:styleId="Ttulo">
    <w:name w:val="Título"/>
    <w:basedOn w:val="Normal"/>
    <w:next w:val="Textindependent"/>
    <w:qFormat/>
    <w:pPr>
      <w:keepNext/>
      <w:spacing w:before="240" w:after="120"/>
    </w:pPr>
    <w:rPr>
      <w:rFonts w:ascii="Liberation Sans" w:eastAsia="Microsoft YaHei" w:hAnsi="Liberation Sans" w:cs="Arial"/>
      <w:sz w:val="28"/>
      <w:szCs w:val="28"/>
    </w:rPr>
  </w:style>
  <w:style w:type="paragraph" w:styleId="Textindependent">
    <w:name w:val="Body Text"/>
    <w:basedOn w:val="Normal"/>
    <w:pPr>
      <w:ind w:right="-2"/>
      <w:jc w:val="both"/>
    </w:pPr>
    <w:rPr>
      <w:b/>
      <w:color w:val="008000"/>
      <w:sz w:val="20"/>
    </w:rPr>
  </w:style>
  <w:style w:type="paragraph" w:styleId="Llista">
    <w:name w:val="List"/>
    <w:basedOn w:val="Textindependent"/>
    <w:rPr>
      <w:rFonts w:cs="Arial"/>
    </w:rPr>
  </w:style>
  <w:style w:type="paragraph" w:styleId="Llegenda">
    <w:name w:val="caption"/>
    <w:basedOn w:val="Normal"/>
    <w:qFormat/>
    <w:pPr>
      <w:suppressLineNumbers/>
      <w:spacing w:before="120" w:after="120"/>
    </w:pPr>
    <w:rPr>
      <w:rFonts w:cs="Arial"/>
      <w:i/>
      <w:iCs/>
      <w:szCs w:val="24"/>
    </w:rPr>
  </w:style>
  <w:style w:type="paragraph" w:customStyle="1" w:styleId="ndice">
    <w:name w:val="Índice"/>
    <w:basedOn w:val="Normal"/>
    <w:qFormat/>
    <w:pPr>
      <w:suppressLineNumbers/>
    </w:pPr>
    <w:rPr>
      <w:rFonts w:cs="Arial"/>
    </w:rPr>
  </w:style>
  <w:style w:type="paragraph" w:customStyle="1" w:styleId="Justificat">
    <w:name w:val="Justificat"/>
    <w:basedOn w:val="Normal"/>
    <w:next w:val="Normal"/>
    <w:qFormat/>
    <w:pPr>
      <w:jc w:val="both"/>
    </w:pPr>
  </w:style>
  <w:style w:type="paragraph" w:customStyle="1" w:styleId="Cos10">
    <w:name w:val="Cos10"/>
    <w:basedOn w:val="Normal"/>
    <w:qFormat/>
    <w:rPr>
      <w:sz w:val="20"/>
    </w:rPr>
  </w:style>
  <w:style w:type="paragraph" w:customStyle="1" w:styleId="Llistanumerada1">
    <w:name w:val="Llista numerada1"/>
    <w:basedOn w:val="Normal"/>
    <w:qFormat/>
    <w:pPr>
      <w:spacing w:before="80"/>
    </w:pPr>
  </w:style>
  <w:style w:type="paragraph" w:customStyle="1" w:styleId="Llistasensenumerar">
    <w:name w:val="Llista sense numerar"/>
    <w:basedOn w:val="Normal"/>
    <w:qFormat/>
    <w:pPr>
      <w:spacing w:before="80"/>
    </w:pPr>
  </w:style>
  <w:style w:type="paragraph" w:customStyle="1" w:styleId="Esquema-1">
    <w:name w:val="Esquema-1"/>
    <w:basedOn w:val="Llistanumerada1"/>
    <w:qFormat/>
  </w:style>
  <w:style w:type="paragraph" w:customStyle="1" w:styleId="Cabeceraypie">
    <w:name w:val="Cabecera y pie"/>
    <w:basedOn w:val="Normal"/>
    <w:qFormat/>
  </w:style>
  <w:style w:type="paragraph" w:styleId="Capalera">
    <w:name w:val="header"/>
    <w:basedOn w:val="Normal"/>
    <w:pPr>
      <w:tabs>
        <w:tab w:val="center" w:pos="4252"/>
        <w:tab w:val="right" w:pos="8504"/>
      </w:tabs>
    </w:pPr>
  </w:style>
  <w:style w:type="paragraph" w:styleId="Peu">
    <w:name w:val="footer"/>
    <w:basedOn w:val="Normal"/>
    <w:pPr>
      <w:tabs>
        <w:tab w:val="center" w:pos="4252"/>
        <w:tab w:val="right" w:pos="8504"/>
      </w:tabs>
    </w:pPr>
  </w:style>
  <w:style w:type="paragraph" w:styleId="Textindependent3">
    <w:name w:val="Body Text 3"/>
    <w:basedOn w:val="Normal"/>
    <w:qFormat/>
    <w:pPr>
      <w:jc w:val="center"/>
    </w:pPr>
    <w:rPr>
      <w:sz w:val="20"/>
    </w:rPr>
  </w:style>
  <w:style w:type="paragraph" w:styleId="Textdeglobus">
    <w:name w:val="Balloon Text"/>
    <w:basedOn w:val="Normal"/>
    <w:semiHidden/>
    <w:qFormat/>
    <w:rsid w:val="00327EBD"/>
    <w:rPr>
      <w:rFonts w:ascii="Tahoma" w:hAnsi="Tahoma" w:cs="Tahoma"/>
      <w:sz w:val="16"/>
      <w:szCs w:val="16"/>
    </w:rPr>
  </w:style>
  <w:style w:type="paragraph" w:styleId="Pargrafdellista">
    <w:name w:val="List Paragraph"/>
    <w:basedOn w:val="Normal"/>
    <w:uiPriority w:val="34"/>
    <w:qFormat/>
    <w:rsid w:val="002022A9"/>
    <w:pPr>
      <w:ind w:left="720"/>
    </w:pPr>
    <w:rPr>
      <w:rFonts w:ascii="Calibri" w:eastAsia="Calibri" w:hAnsi="Calibri"/>
      <w:sz w:val="22"/>
      <w:szCs w:val="22"/>
      <w:lang w:eastAsia="en-US"/>
    </w:rPr>
  </w:style>
  <w:style w:type="paragraph" w:customStyle="1" w:styleId="Contenidodelmarco">
    <w:name w:val="Contenido del marco"/>
    <w:basedOn w:val="Normal"/>
    <w:qFormat/>
  </w:style>
  <w:style w:type="paragraph" w:styleId="NormalWeb">
    <w:name w:val="Normal (Web)"/>
    <w:basedOn w:val="Normal"/>
    <w:uiPriority w:val="99"/>
    <w:unhideWhenUsed/>
    <w:qFormat/>
    <w:rsid w:val="001E12A8"/>
    <w:pPr>
      <w:spacing w:beforeAutospacing="1" w:after="142" w:line="276" w:lineRule="auto"/>
    </w:pPr>
    <w:rPr>
      <w:rFonts w:ascii="Times New Roman" w:hAnsi="Times New Roman"/>
      <w:szCs w:val="24"/>
      <w:lang w:eastAsia="ca-ES"/>
    </w:rPr>
  </w:style>
  <w:style w:type="character" w:customStyle="1" w:styleId="marklctcgubgy">
    <w:name w:val="marklctcgubgy"/>
    <w:basedOn w:val="Lletraperdefectedelpargraf"/>
    <w:rsid w:val="00DF53BE"/>
  </w:style>
  <w:style w:type="table" w:styleId="Taulaambquadrcula">
    <w:name w:val="Table Grid"/>
    <w:basedOn w:val="Taulanormal"/>
    <w:uiPriority w:val="39"/>
    <w:rsid w:val="00E2374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245337">
      <w:bodyDiv w:val="1"/>
      <w:marLeft w:val="0"/>
      <w:marRight w:val="0"/>
      <w:marTop w:val="0"/>
      <w:marBottom w:val="0"/>
      <w:divBdr>
        <w:top w:val="none" w:sz="0" w:space="0" w:color="auto"/>
        <w:left w:val="none" w:sz="0" w:space="0" w:color="auto"/>
        <w:bottom w:val="none" w:sz="0" w:space="0" w:color="auto"/>
        <w:right w:val="none" w:sz="0" w:space="0" w:color="auto"/>
      </w:divBdr>
    </w:div>
    <w:div w:id="645742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ior.gencat.cat/bombe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06.ftx.interior.intranet.gencat.cat\0601_SRVDGEDADESCOMP_COMPARTIDES$\CECAT\PREMSA\PREMSA_COMP\g55nig00\PREMSA\CAMPANYES%20FORESTALS\CAMPANYA%20FORESTAL%202026\BALAN&#199;%20CF\Estad&#237;stiques%20amb%20gr&#224;fiques%20CF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06.ftx.interior.intranet.gencat.cat\0601_SRVDGEDADESCOMP_COMPARTIDES$\CECAT\PREMSA\PREMSA_COMP\g55nig00\PREMSA\CAMPANYES%20FORESTALS\CAMPANYA%20FORESTAL%202026\BALAN&#199;%20CF\Estad&#237;stiques%20amb%20gr&#224;fiques%20CF2026.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a-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a-ES" sz="1200"/>
              <a:t>Total</a:t>
            </a:r>
            <a:r>
              <a:rPr lang="ca-ES" sz="1200" baseline="0"/>
              <a:t> incendis de vegetació</a:t>
            </a:r>
          </a:p>
          <a:p>
            <a:pPr>
              <a:defRPr/>
            </a:pPr>
            <a:r>
              <a:rPr lang="ca-ES" sz="1200" baseline="0"/>
              <a:t>(2024 - 2026*) </a:t>
            </a:r>
          </a:p>
          <a:p>
            <a:pPr>
              <a:defRPr/>
            </a:pPr>
            <a:r>
              <a:rPr lang="ca-ES" sz="1000" baseline="0"/>
              <a:t>*fins al 15 de setembre</a:t>
            </a:r>
            <a:endParaRPr lang="ca-ES" sz="10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a-ES"/>
        </a:p>
      </c:txPr>
    </c:title>
    <c:autoTitleDeleted val="0"/>
    <c:plotArea>
      <c:layout/>
      <c:lineChart>
        <c:grouping val="standard"/>
        <c:varyColors val="0"/>
        <c:ser>
          <c:idx val="0"/>
          <c:order val="0"/>
          <c:tx>
            <c:strRef>
              <c:f>gràfiques!$D$26</c:f>
              <c:strCache>
                <c:ptCount val="1"/>
                <c:pt idx="0">
                  <c:v>2024</c:v>
                </c:pt>
              </c:strCache>
            </c:strRef>
          </c:tx>
          <c:spPr>
            <a:ln w="28575" cap="rnd">
              <a:solidFill>
                <a:schemeClr val="accent1"/>
              </a:solidFill>
              <a:round/>
            </a:ln>
            <a:effectLst/>
          </c:spPr>
          <c:marker>
            <c:symbol val="none"/>
          </c:marker>
          <c:cat>
            <c:strRef>
              <c:f>gràfiques!$C$27:$C$38</c:f>
              <c:strCache>
                <c:ptCount val="12"/>
                <c:pt idx="0">
                  <c:v>Gener</c:v>
                </c:pt>
                <c:pt idx="1">
                  <c:v>Febrer</c:v>
                </c:pt>
                <c:pt idx="2">
                  <c:v>Març</c:v>
                </c:pt>
                <c:pt idx="3">
                  <c:v>Abril</c:v>
                </c:pt>
                <c:pt idx="4">
                  <c:v>Maig</c:v>
                </c:pt>
                <c:pt idx="5">
                  <c:v>Juny</c:v>
                </c:pt>
                <c:pt idx="6">
                  <c:v>Juliol</c:v>
                </c:pt>
                <c:pt idx="7">
                  <c:v>Agost</c:v>
                </c:pt>
                <c:pt idx="8">
                  <c:v>Setembre</c:v>
                </c:pt>
                <c:pt idx="9">
                  <c:v>Octubre</c:v>
                </c:pt>
                <c:pt idx="10">
                  <c:v>Novembre</c:v>
                </c:pt>
                <c:pt idx="11">
                  <c:v>Desembre</c:v>
                </c:pt>
              </c:strCache>
            </c:strRef>
          </c:cat>
          <c:val>
            <c:numRef>
              <c:f>gràfiques!$D$27:$D$38</c:f>
              <c:numCache>
                <c:formatCode>General</c:formatCode>
                <c:ptCount val="12"/>
                <c:pt idx="0">
                  <c:v>360</c:v>
                </c:pt>
                <c:pt idx="1">
                  <c:v>430</c:v>
                </c:pt>
                <c:pt idx="2">
                  <c:v>404</c:v>
                </c:pt>
                <c:pt idx="3">
                  <c:v>326</c:v>
                </c:pt>
                <c:pt idx="4">
                  <c:v>315</c:v>
                </c:pt>
                <c:pt idx="5">
                  <c:v>464</c:v>
                </c:pt>
                <c:pt idx="6">
                  <c:v>393</c:v>
                </c:pt>
                <c:pt idx="7">
                  <c:v>379</c:v>
                </c:pt>
                <c:pt idx="8">
                  <c:v>183</c:v>
                </c:pt>
                <c:pt idx="9">
                  <c:v>110</c:v>
                </c:pt>
                <c:pt idx="10">
                  <c:v>80</c:v>
                </c:pt>
                <c:pt idx="11">
                  <c:v>165</c:v>
                </c:pt>
              </c:numCache>
            </c:numRef>
          </c:val>
          <c:smooth val="0"/>
          <c:extLst>
            <c:ext xmlns:c16="http://schemas.microsoft.com/office/drawing/2014/chart" uri="{C3380CC4-5D6E-409C-BE32-E72D297353CC}">
              <c16:uniqueId val="{00000000-F806-4E9A-B269-C873726C91C9}"/>
            </c:ext>
          </c:extLst>
        </c:ser>
        <c:ser>
          <c:idx val="1"/>
          <c:order val="1"/>
          <c:tx>
            <c:strRef>
              <c:f>gràfiques!$E$26</c:f>
              <c:strCache>
                <c:ptCount val="1"/>
                <c:pt idx="0">
                  <c:v>2025</c:v>
                </c:pt>
              </c:strCache>
            </c:strRef>
          </c:tx>
          <c:spPr>
            <a:ln w="28575" cap="rnd">
              <a:solidFill>
                <a:schemeClr val="bg1">
                  <a:lumMod val="65000"/>
                </a:schemeClr>
              </a:solidFill>
              <a:round/>
            </a:ln>
            <a:effectLst/>
          </c:spPr>
          <c:marker>
            <c:symbol val="none"/>
          </c:marker>
          <c:cat>
            <c:strRef>
              <c:f>gràfiques!$C$27:$C$38</c:f>
              <c:strCache>
                <c:ptCount val="12"/>
                <c:pt idx="0">
                  <c:v>Gener</c:v>
                </c:pt>
                <c:pt idx="1">
                  <c:v>Febrer</c:v>
                </c:pt>
                <c:pt idx="2">
                  <c:v>Març</c:v>
                </c:pt>
                <c:pt idx="3">
                  <c:v>Abril</c:v>
                </c:pt>
                <c:pt idx="4">
                  <c:v>Maig</c:v>
                </c:pt>
                <c:pt idx="5">
                  <c:v>Juny</c:v>
                </c:pt>
                <c:pt idx="6">
                  <c:v>Juliol</c:v>
                </c:pt>
                <c:pt idx="7">
                  <c:v>Agost</c:v>
                </c:pt>
                <c:pt idx="8">
                  <c:v>Setembre</c:v>
                </c:pt>
                <c:pt idx="9">
                  <c:v>Octubre</c:v>
                </c:pt>
                <c:pt idx="10">
                  <c:v>Novembre</c:v>
                </c:pt>
                <c:pt idx="11">
                  <c:v>Desembre</c:v>
                </c:pt>
              </c:strCache>
            </c:strRef>
          </c:cat>
          <c:val>
            <c:numRef>
              <c:f>gràfiques!$E$27:$E$38</c:f>
              <c:numCache>
                <c:formatCode>General</c:formatCode>
                <c:ptCount val="12"/>
                <c:pt idx="0">
                  <c:v>280</c:v>
                </c:pt>
                <c:pt idx="1">
                  <c:v>174</c:v>
                </c:pt>
                <c:pt idx="2">
                  <c:v>112</c:v>
                </c:pt>
                <c:pt idx="3">
                  <c:v>135</c:v>
                </c:pt>
                <c:pt idx="4">
                  <c:v>275</c:v>
                </c:pt>
                <c:pt idx="5">
                  <c:v>1090</c:v>
                </c:pt>
                <c:pt idx="6">
                  <c:v>500</c:v>
                </c:pt>
                <c:pt idx="7">
                  <c:v>456</c:v>
                </c:pt>
                <c:pt idx="8">
                  <c:v>209</c:v>
                </c:pt>
                <c:pt idx="9">
                  <c:v>196</c:v>
                </c:pt>
                <c:pt idx="10">
                  <c:v>221</c:v>
                </c:pt>
                <c:pt idx="11">
                  <c:v>134</c:v>
                </c:pt>
              </c:numCache>
            </c:numRef>
          </c:val>
          <c:smooth val="0"/>
          <c:extLst>
            <c:ext xmlns:c16="http://schemas.microsoft.com/office/drawing/2014/chart" uri="{C3380CC4-5D6E-409C-BE32-E72D297353CC}">
              <c16:uniqueId val="{00000001-F806-4E9A-B269-C873726C91C9}"/>
            </c:ext>
          </c:extLst>
        </c:ser>
        <c:ser>
          <c:idx val="2"/>
          <c:order val="2"/>
          <c:tx>
            <c:strRef>
              <c:f>gràfiques!$F$26</c:f>
              <c:strCache>
                <c:ptCount val="1"/>
                <c:pt idx="0">
                  <c:v>2026</c:v>
                </c:pt>
              </c:strCache>
            </c:strRef>
          </c:tx>
          <c:spPr>
            <a:ln w="28575" cap="rnd">
              <a:solidFill>
                <a:srgbClr val="C00000"/>
              </a:solidFill>
              <a:round/>
            </a:ln>
            <a:effectLst/>
          </c:spPr>
          <c:marker>
            <c:symbol val="none"/>
          </c:marker>
          <c:dLbls>
            <c:dLbl>
              <c:idx val="1"/>
              <c:layout>
                <c:manualLayout>
                  <c:x val="-4.5388888888888916E-2"/>
                  <c:y val="-3.46875911344415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806-4E9A-B269-C873726C91C9}"/>
                </c:ext>
              </c:extLst>
            </c:dLbl>
            <c:dLbl>
              <c:idx val="4"/>
              <c:layout>
                <c:manualLayout>
                  <c:x val="-5.0944444444444494E-2"/>
                  <c:y val="-5.78357392825896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806-4E9A-B269-C873726C91C9}"/>
                </c:ext>
              </c:extLst>
            </c:dLbl>
            <c:dLbl>
              <c:idx val="5"/>
              <c:layout>
                <c:manualLayout>
                  <c:x val="-8.955555555555561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806-4E9A-B269-C873726C91C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a-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gràfiques!$C$27:$C$38</c:f>
              <c:strCache>
                <c:ptCount val="12"/>
                <c:pt idx="0">
                  <c:v>Gener</c:v>
                </c:pt>
                <c:pt idx="1">
                  <c:v>Febrer</c:v>
                </c:pt>
                <c:pt idx="2">
                  <c:v>Març</c:v>
                </c:pt>
                <c:pt idx="3">
                  <c:v>Abril</c:v>
                </c:pt>
                <c:pt idx="4">
                  <c:v>Maig</c:v>
                </c:pt>
                <c:pt idx="5">
                  <c:v>Juny</c:v>
                </c:pt>
                <c:pt idx="6">
                  <c:v>Juliol</c:v>
                </c:pt>
                <c:pt idx="7">
                  <c:v>Agost</c:v>
                </c:pt>
                <c:pt idx="8">
                  <c:v>Setembre</c:v>
                </c:pt>
                <c:pt idx="9">
                  <c:v>Octubre</c:v>
                </c:pt>
                <c:pt idx="10">
                  <c:v>Novembre</c:v>
                </c:pt>
                <c:pt idx="11">
                  <c:v>Desembre</c:v>
                </c:pt>
              </c:strCache>
            </c:strRef>
          </c:cat>
          <c:val>
            <c:numRef>
              <c:f>gràfiques!$F$27:$F$38</c:f>
              <c:numCache>
                <c:formatCode>General</c:formatCode>
                <c:ptCount val="12"/>
                <c:pt idx="0">
                  <c:v>140</c:v>
                </c:pt>
                <c:pt idx="1">
                  <c:v>220</c:v>
                </c:pt>
                <c:pt idx="2">
                  <c:v>291</c:v>
                </c:pt>
                <c:pt idx="3">
                  <c:v>414</c:v>
                </c:pt>
                <c:pt idx="4">
                  <c:v>590</c:v>
                </c:pt>
                <c:pt idx="5">
                  <c:v>1265</c:v>
                </c:pt>
                <c:pt idx="6">
                  <c:v>910</c:v>
                </c:pt>
                <c:pt idx="7">
                  <c:v>485</c:v>
                </c:pt>
                <c:pt idx="8">
                  <c:v>184</c:v>
                </c:pt>
              </c:numCache>
            </c:numRef>
          </c:val>
          <c:smooth val="0"/>
          <c:extLst>
            <c:ext xmlns:c16="http://schemas.microsoft.com/office/drawing/2014/chart" uri="{C3380CC4-5D6E-409C-BE32-E72D297353CC}">
              <c16:uniqueId val="{00000005-F806-4E9A-B269-C873726C91C9}"/>
            </c:ext>
          </c:extLst>
        </c:ser>
        <c:dLbls>
          <c:showLegendKey val="0"/>
          <c:showVal val="0"/>
          <c:showCatName val="0"/>
          <c:showSerName val="0"/>
          <c:showPercent val="0"/>
          <c:showBubbleSize val="0"/>
        </c:dLbls>
        <c:smooth val="0"/>
        <c:axId val="1524949176"/>
        <c:axId val="1524941616"/>
      </c:lineChart>
      <c:catAx>
        <c:axId val="1524949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a-ES"/>
          </a:p>
        </c:txPr>
        <c:crossAx val="1524941616"/>
        <c:crosses val="autoZero"/>
        <c:auto val="1"/>
        <c:lblAlgn val="ctr"/>
        <c:lblOffset val="100"/>
        <c:noMultiLvlLbl val="0"/>
      </c:catAx>
      <c:valAx>
        <c:axId val="1524941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a-ES"/>
          </a:p>
        </c:txPr>
        <c:crossAx val="1524949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a-E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ca-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a-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a-ES" sz="1200"/>
              <a:t>Tipus</a:t>
            </a:r>
            <a:r>
              <a:rPr lang="ca-ES" sz="1200" baseline="0"/>
              <a:t> d'incendis de vegetació 2026</a:t>
            </a:r>
          </a:p>
          <a:p>
            <a:pPr>
              <a:defRPr/>
            </a:pPr>
            <a:r>
              <a:rPr lang="ca-ES" sz="1000" baseline="0"/>
              <a:t>(fins al 15 de setembre)</a:t>
            </a:r>
            <a:endParaRPr lang="ca-ES" sz="10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a-ES"/>
        </a:p>
      </c:txPr>
    </c:title>
    <c:autoTitleDeleted val="0"/>
    <c:plotArea>
      <c:layout/>
      <c:barChart>
        <c:barDir val="bar"/>
        <c:grouping val="stacked"/>
        <c:varyColors val="0"/>
        <c:ser>
          <c:idx val="0"/>
          <c:order val="0"/>
          <c:tx>
            <c:strRef>
              <c:f>gràfiques!$K$6</c:f>
              <c:strCache>
                <c:ptCount val="1"/>
                <c:pt idx="0">
                  <c:v>I. V.agrícola</c:v>
                </c:pt>
              </c:strCache>
            </c:strRef>
          </c:tx>
          <c:spPr>
            <a:solidFill>
              <a:srgbClr val="EAC216"/>
            </a:solidFill>
            <a:ln>
              <a:noFill/>
            </a:ln>
            <a:effectLst/>
          </c:spPr>
          <c:invertIfNegative val="0"/>
          <c:cat>
            <c:strRef>
              <c:f>gràfiques!$J$7:$J$15</c:f>
              <c:strCache>
                <c:ptCount val="9"/>
                <c:pt idx="0">
                  <c:v>Gener</c:v>
                </c:pt>
                <c:pt idx="1">
                  <c:v>Febrer</c:v>
                </c:pt>
                <c:pt idx="2">
                  <c:v>Març</c:v>
                </c:pt>
                <c:pt idx="3">
                  <c:v>Abril</c:v>
                </c:pt>
                <c:pt idx="4">
                  <c:v>Maig</c:v>
                </c:pt>
                <c:pt idx="5">
                  <c:v>Juny</c:v>
                </c:pt>
                <c:pt idx="6">
                  <c:v>Juliol</c:v>
                </c:pt>
                <c:pt idx="7">
                  <c:v>Agost</c:v>
                </c:pt>
                <c:pt idx="8">
                  <c:v>Setembre</c:v>
                </c:pt>
              </c:strCache>
            </c:strRef>
          </c:cat>
          <c:val>
            <c:numRef>
              <c:f>gràfiques!$K$7:$K$15</c:f>
              <c:numCache>
                <c:formatCode>General</c:formatCode>
                <c:ptCount val="9"/>
                <c:pt idx="0">
                  <c:v>59</c:v>
                </c:pt>
                <c:pt idx="1">
                  <c:v>95</c:v>
                </c:pt>
                <c:pt idx="2">
                  <c:v>127</c:v>
                </c:pt>
                <c:pt idx="3">
                  <c:v>155</c:v>
                </c:pt>
                <c:pt idx="4">
                  <c:v>156</c:v>
                </c:pt>
                <c:pt idx="5">
                  <c:v>333</c:v>
                </c:pt>
                <c:pt idx="6">
                  <c:v>297</c:v>
                </c:pt>
                <c:pt idx="7">
                  <c:v>183</c:v>
                </c:pt>
                <c:pt idx="8">
                  <c:v>68</c:v>
                </c:pt>
              </c:numCache>
            </c:numRef>
          </c:val>
          <c:extLst>
            <c:ext xmlns:c16="http://schemas.microsoft.com/office/drawing/2014/chart" uri="{C3380CC4-5D6E-409C-BE32-E72D297353CC}">
              <c16:uniqueId val="{00000000-B7B7-4C76-B0C9-79A5FC187ADC}"/>
            </c:ext>
          </c:extLst>
        </c:ser>
        <c:ser>
          <c:idx val="1"/>
          <c:order val="1"/>
          <c:tx>
            <c:strRef>
              <c:f>gràfiques!$L$6</c:f>
              <c:strCache>
                <c:ptCount val="1"/>
                <c:pt idx="0">
                  <c:v>I. V. forestal</c:v>
                </c:pt>
              </c:strCache>
            </c:strRef>
          </c:tx>
          <c:spPr>
            <a:solidFill>
              <a:schemeClr val="accent6">
                <a:lumMod val="75000"/>
              </a:schemeClr>
            </a:solidFill>
            <a:ln>
              <a:noFill/>
            </a:ln>
            <a:effectLst/>
          </c:spPr>
          <c:invertIfNegative val="0"/>
          <c:cat>
            <c:strRef>
              <c:f>gràfiques!$J$7:$J$15</c:f>
              <c:strCache>
                <c:ptCount val="9"/>
                <c:pt idx="0">
                  <c:v>Gener</c:v>
                </c:pt>
                <c:pt idx="1">
                  <c:v>Febrer</c:v>
                </c:pt>
                <c:pt idx="2">
                  <c:v>Març</c:v>
                </c:pt>
                <c:pt idx="3">
                  <c:v>Abril</c:v>
                </c:pt>
                <c:pt idx="4">
                  <c:v>Maig</c:v>
                </c:pt>
                <c:pt idx="5">
                  <c:v>Juny</c:v>
                </c:pt>
                <c:pt idx="6">
                  <c:v>Juliol</c:v>
                </c:pt>
                <c:pt idx="7">
                  <c:v>Agost</c:v>
                </c:pt>
                <c:pt idx="8">
                  <c:v>Setembre</c:v>
                </c:pt>
              </c:strCache>
            </c:strRef>
          </c:cat>
          <c:val>
            <c:numRef>
              <c:f>gràfiques!$L$7:$L$15</c:f>
              <c:numCache>
                <c:formatCode>General</c:formatCode>
                <c:ptCount val="9"/>
                <c:pt idx="0">
                  <c:v>27</c:v>
                </c:pt>
                <c:pt idx="1">
                  <c:v>62</c:v>
                </c:pt>
                <c:pt idx="2">
                  <c:v>94</c:v>
                </c:pt>
                <c:pt idx="3">
                  <c:v>121</c:v>
                </c:pt>
                <c:pt idx="4">
                  <c:v>108</c:v>
                </c:pt>
                <c:pt idx="5">
                  <c:v>249</c:v>
                </c:pt>
                <c:pt idx="6">
                  <c:v>311</c:v>
                </c:pt>
                <c:pt idx="7">
                  <c:v>174</c:v>
                </c:pt>
                <c:pt idx="8">
                  <c:v>75</c:v>
                </c:pt>
              </c:numCache>
            </c:numRef>
          </c:val>
          <c:extLst>
            <c:ext xmlns:c16="http://schemas.microsoft.com/office/drawing/2014/chart" uri="{C3380CC4-5D6E-409C-BE32-E72D297353CC}">
              <c16:uniqueId val="{00000001-B7B7-4C76-B0C9-79A5FC187ADC}"/>
            </c:ext>
          </c:extLst>
        </c:ser>
        <c:ser>
          <c:idx val="2"/>
          <c:order val="2"/>
          <c:tx>
            <c:strRef>
              <c:f>gràfiques!$M$6</c:f>
              <c:strCache>
                <c:ptCount val="1"/>
                <c:pt idx="0">
                  <c:v>I. V.urbana</c:v>
                </c:pt>
              </c:strCache>
            </c:strRef>
          </c:tx>
          <c:spPr>
            <a:solidFill>
              <a:srgbClr val="C00000"/>
            </a:solidFill>
            <a:ln>
              <a:noFill/>
            </a:ln>
            <a:effectLst/>
          </c:spPr>
          <c:invertIfNegative val="0"/>
          <c:cat>
            <c:strRef>
              <c:f>gràfiques!$J$7:$J$15</c:f>
              <c:strCache>
                <c:ptCount val="9"/>
                <c:pt idx="0">
                  <c:v>Gener</c:v>
                </c:pt>
                <c:pt idx="1">
                  <c:v>Febrer</c:v>
                </c:pt>
                <c:pt idx="2">
                  <c:v>Març</c:v>
                </c:pt>
                <c:pt idx="3">
                  <c:v>Abril</c:v>
                </c:pt>
                <c:pt idx="4">
                  <c:v>Maig</c:v>
                </c:pt>
                <c:pt idx="5">
                  <c:v>Juny</c:v>
                </c:pt>
                <c:pt idx="6">
                  <c:v>Juliol</c:v>
                </c:pt>
                <c:pt idx="7">
                  <c:v>Agost</c:v>
                </c:pt>
                <c:pt idx="8">
                  <c:v>Setembre</c:v>
                </c:pt>
              </c:strCache>
            </c:strRef>
          </c:cat>
          <c:val>
            <c:numRef>
              <c:f>gràfiques!$M$7:$M$15</c:f>
              <c:numCache>
                <c:formatCode>General</c:formatCode>
                <c:ptCount val="9"/>
                <c:pt idx="0">
                  <c:v>54</c:v>
                </c:pt>
                <c:pt idx="1">
                  <c:v>63</c:v>
                </c:pt>
                <c:pt idx="2">
                  <c:v>70</c:v>
                </c:pt>
                <c:pt idx="3">
                  <c:v>138</c:v>
                </c:pt>
                <c:pt idx="4">
                  <c:v>121</c:v>
                </c:pt>
                <c:pt idx="5">
                  <c:v>683</c:v>
                </c:pt>
                <c:pt idx="6">
                  <c:v>302</c:v>
                </c:pt>
                <c:pt idx="7">
                  <c:v>128</c:v>
                </c:pt>
                <c:pt idx="8">
                  <c:v>41</c:v>
                </c:pt>
              </c:numCache>
            </c:numRef>
          </c:val>
          <c:extLst>
            <c:ext xmlns:c16="http://schemas.microsoft.com/office/drawing/2014/chart" uri="{C3380CC4-5D6E-409C-BE32-E72D297353CC}">
              <c16:uniqueId val="{00000002-B7B7-4C76-B0C9-79A5FC187ADC}"/>
            </c:ext>
          </c:extLst>
        </c:ser>
        <c:dLbls>
          <c:showLegendKey val="0"/>
          <c:showVal val="0"/>
          <c:showCatName val="0"/>
          <c:showSerName val="0"/>
          <c:showPercent val="0"/>
          <c:showBubbleSize val="0"/>
        </c:dLbls>
        <c:gapWidth val="150"/>
        <c:overlap val="100"/>
        <c:axId val="1525003896"/>
        <c:axId val="1525005696"/>
      </c:barChart>
      <c:catAx>
        <c:axId val="1525003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a-ES"/>
          </a:p>
        </c:txPr>
        <c:crossAx val="1525005696"/>
        <c:crosses val="autoZero"/>
        <c:auto val="1"/>
        <c:lblAlgn val="ctr"/>
        <c:lblOffset val="100"/>
        <c:noMultiLvlLbl val="0"/>
      </c:catAx>
      <c:valAx>
        <c:axId val="15250056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a-ES"/>
          </a:p>
        </c:txPr>
        <c:crossAx val="1525003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a-E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ca-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8ACC1-F5F2-4D9F-894A-97D23E5F6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2140</Words>
  <Characters>12200</Characters>
  <Application>Microsoft Office Word</Application>
  <DocSecurity>0</DocSecurity>
  <Lines>101</Lines>
  <Paragraphs>28</Paragraphs>
  <ScaleCrop>false</ScaleCrop>
  <HeadingPairs>
    <vt:vector size="2" baseType="variant">
      <vt:variant>
        <vt:lpstr>Títol</vt:lpstr>
      </vt:variant>
      <vt:variant>
        <vt:i4>1</vt:i4>
      </vt:variant>
    </vt:vector>
  </HeadingPairs>
  <TitlesOfParts>
    <vt:vector size="1" baseType="lpstr">
      <vt:lpstr>El Departament d’Interior informa</vt:lpstr>
    </vt:vector>
  </TitlesOfParts>
  <Company>Departament d'Interior</Company>
  <LinksUpToDate>false</LinksUpToDate>
  <CharactersWithSpaces>14312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Departament d’Interior informa</dc:title>
  <dc:subject/>
  <dc:creator>Premsa1SCB</dc:creator>
  <dc:description>Plantilla amb la capçalera, els marges, el tipus de lletra i els estils corporatius</dc:description>
  <cp:lastModifiedBy>Savalls Ortiz, Carles</cp:lastModifiedBy>
  <cp:revision>7</cp:revision>
  <cp:lastPrinted>2023-01-26T19:34:00Z</cp:lastPrinted>
  <dcterms:created xsi:type="dcterms:W3CDTF">2026-10-14T09:05:00Z</dcterms:created>
  <dcterms:modified xsi:type="dcterms:W3CDTF">2026-10-14T09:36:00Z</dcterms:modified>
  <dc:language>ca-ES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Departament d'Interior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ocHome">
    <vt:i4>-934070461</vt:i4>
  </property>
</Properties>
</file>